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3771E" w14:textId="7182AA01" w:rsidR="00D66795" w:rsidRPr="00D66795" w:rsidRDefault="00000000" w:rsidP="00D66795">
      <w:pPr>
        <w:pStyle w:val="ListParagraph"/>
        <w:rPr>
          <w:rFonts w:ascii="Times New Roman" w:hAnsi="Times New Roman" w:cs="Times New Roman"/>
          <w:sz w:val="24"/>
          <w:szCs w:val="24"/>
        </w:rPr>
      </w:pPr>
      <w:r w:rsidRPr="00D66795">
        <w:rPr>
          <w:rFonts w:ascii="Times New Roman" w:hAnsi="Times New Roman" w:cs="Times New Roman"/>
          <w:b/>
          <w:bCs/>
          <w:sz w:val="24"/>
          <w:szCs w:val="24"/>
        </w:rPr>
        <w:t>BOTSWANA’S CBM INVESTMENT LANDSCAPE</w:t>
      </w:r>
    </w:p>
    <w:p w14:paraId="7CA03DFE" w14:textId="56C5E0D4" w:rsidR="00EC027C" w:rsidRPr="00D66795" w:rsidRDefault="00000000">
      <w:pPr>
        <w:pStyle w:val="Heading1"/>
        <w:rPr>
          <w:rFonts w:ascii="Times New Roman" w:hAnsi="Times New Roman" w:cs="Times New Roman"/>
          <w:color w:val="auto"/>
          <w:sz w:val="24"/>
          <w:szCs w:val="24"/>
        </w:rPr>
      </w:pPr>
      <w:r w:rsidRPr="00D66795">
        <w:rPr>
          <w:rFonts w:ascii="Times New Roman" w:hAnsi="Times New Roman" w:cs="Times New Roman"/>
          <w:color w:val="auto"/>
          <w:sz w:val="24"/>
          <w:szCs w:val="24"/>
        </w:rPr>
        <w:t>Executive Summary</w:t>
      </w:r>
    </w:p>
    <w:p w14:paraId="2A772EFD" w14:textId="77777777" w:rsidR="00EC027C" w:rsidRPr="00D66795" w:rsidRDefault="00000000">
      <w:pPr>
        <w:spacing w:after="120" w:line="276" w:lineRule="auto"/>
        <w:jc w:val="both"/>
        <w:rPr>
          <w:rFonts w:ascii="Times New Roman" w:hAnsi="Times New Roman" w:cs="Times New Roman"/>
          <w:sz w:val="24"/>
          <w:szCs w:val="24"/>
        </w:rPr>
      </w:pPr>
      <w:r w:rsidRPr="00D66795">
        <w:rPr>
          <w:rFonts w:ascii="Times New Roman" w:hAnsi="Times New Roman" w:cs="Times New Roman"/>
          <w:sz w:val="24"/>
          <w:szCs w:val="24"/>
        </w:rPr>
        <w:t xml:space="preserve">Botswana’s coal-bed methane (CBM) sector remains pre-commercial but has advanced materially since 2024–2025. The dominant near-term project is </w:t>
      </w:r>
      <w:proofErr w:type="spellStart"/>
      <w:r w:rsidRPr="00D66795">
        <w:rPr>
          <w:rFonts w:ascii="Times New Roman" w:hAnsi="Times New Roman" w:cs="Times New Roman"/>
          <w:sz w:val="24"/>
          <w:szCs w:val="24"/>
        </w:rPr>
        <w:t>Botala</w:t>
      </w:r>
      <w:proofErr w:type="spellEnd"/>
      <w:r w:rsidRPr="00D66795">
        <w:rPr>
          <w:rFonts w:ascii="Times New Roman" w:hAnsi="Times New Roman" w:cs="Times New Roman"/>
          <w:sz w:val="24"/>
          <w:szCs w:val="24"/>
        </w:rPr>
        <w:t xml:space="preserve"> Energy’s </w:t>
      </w:r>
      <w:proofErr w:type="spellStart"/>
      <w:r w:rsidRPr="00D66795">
        <w:rPr>
          <w:rFonts w:ascii="Times New Roman" w:hAnsi="Times New Roman" w:cs="Times New Roman"/>
          <w:sz w:val="24"/>
          <w:szCs w:val="24"/>
        </w:rPr>
        <w:t>Serowe</w:t>
      </w:r>
      <w:proofErr w:type="spellEnd"/>
      <w:r w:rsidRPr="00D66795">
        <w:rPr>
          <w:rFonts w:ascii="Times New Roman" w:hAnsi="Times New Roman" w:cs="Times New Roman"/>
          <w:sz w:val="24"/>
          <w:szCs w:val="24"/>
        </w:rPr>
        <w:t xml:space="preserve"> CBM Project in central Botswana. In September 2026 the company reported early continuous gas flow at the </w:t>
      </w:r>
      <w:proofErr w:type="spellStart"/>
      <w:r w:rsidRPr="00D66795">
        <w:rPr>
          <w:rFonts w:ascii="Times New Roman" w:hAnsi="Times New Roman" w:cs="Times New Roman"/>
          <w:sz w:val="24"/>
          <w:szCs w:val="24"/>
        </w:rPr>
        <w:t>Pitse</w:t>
      </w:r>
      <w:proofErr w:type="spellEnd"/>
      <w:r w:rsidRPr="00D66795">
        <w:rPr>
          <w:rFonts w:ascii="Times New Roman" w:hAnsi="Times New Roman" w:cs="Times New Roman"/>
          <w:sz w:val="24"/>
          <w:szCs w:val="24"/>
        </w:rPr>
        <w:t xml:space="preserve"> Pilot well Serowe-3.5B, with production beginning significantly earlier in the dewatering process than expected (</w:t>
      </w:r>
      <w:proofErr w:type="spellStart"/>
      <w:r w:rsidRPr="00D66795">
        <w:rPr>
          <w:rFonts w:ascii="Times New Roman" w:hAnsi="Times New Roman" w:cs="Times New Roman"/>
          <w:sz w:val="24"/>
          <w:szCs w:val="24"/>
        </w:rPr>
        <w:t>Botala</w:t>
      </w:r>
      <w:proofErr w:type="spellEnd"/>
      <w:r w:rsidRPr="00D66795">
        <w:rPr>
          <w:rFonts w:ascii="Times New Roman" w:hAnsi="Times New Roman" w:cs="Times New Roman"/>
          <w:sz w:val="24"/>
          <w:szCs w:val="24"/>
        </w:rPr>
        <w:t xml:space="preserve"> Energy, 2026a). The project holds a mining </w:t>
      </w:r>
      <w:proofErr w:type="spellStart"/>
      <w:r w:rsidRPr="00D66795">
        <w:rPr>
          <w:rFonts w:ascii="Times New Roman" w:hAnsi="Times New Roman" w:cs="Times New Roman"/>
          <w:sz w:val="24"/>
          <w:szCs w:val="24"/>
        </w:rPr>
        <w:t>licence</w:t>
      </w:r>
      <w:proofErr w:type="spellEnd"/>
      <w:r w:rsidRPr="00D66795">
        <w:rPr>
          <w:rFonts w:ascii="Times New Roman" w:hAnsi="Times New Roman" w:cs="Times New Roman"/>
          <w:sz w:val="24"/>
          <w:szCs w:val="24"/>
        </w:rPr>
        <w:t>, environmental approvals, a binding letter of intent for LNG offtake with South Africa’s Scaw Metals for up to 3.5–4.7 petajoules (PJ) per year, and a non-binding government equity commitment of approximately BWP 35 million (≈ A$4 million / US$3.6–4 million) via the Minerals Development Company Botswana (MDCB) for a 15% project stake plus a 1% LNG royalty (</w:t>
      </w:r>
      <w:proofErr w:type="spellStart"/>
      <w:r w:rsidRPr="00D66795">
        <w:rPr>
          <w:rFonts w:ascii="Times New Roman" w:hAnsi="Times New Roman" w:cs="Times New Roman"/>
          <w:sz w:val="24"/>
          <w:szCs w:val="24"/>
        </w:rPr>
        <w:t>Botala</w:t>
      </w:r>
      <w:proofErr w:type="spellEnd"/>
      <w:r w:rsidRPr="00D66795">
        <w:rPr>
          <w:rFonts w:ascii="Times New Roman" w:hAnsi="Times New Roman" w:cs="Times New Roman"/>
          <w:sz w:val="24"/>
          <w:szCs w:val="24"/>
        </w:rPr>
        <w:t xml:space="preserve"> Energy, 2025a; Sunday Standard, 2025).</w:t>
      </w:r>
    </w:p>
    <w:p w14:paraId="3952612C" w14:textId="77777777" w:rsidR="00EC027C" w:rsidRPr="00D66795" w:rsidRDefault="00000000">
      <w:pPr>
        <w:spacing w:after="120" w:line="276" w:lineRule="auto"/>
        <w:jc w:val="both"/>
        <w:rPr>
          <w:rFonts w:ascii="Times New Roman" w:hAnsi="Times New Roman" w:cs="Times New Roman"/>
          <w:sz w:val="24"/>
          <w:szCs w:val="24"/>
        </w:rPr>
      </w:pPr>
      <w:proofErr w:type="spellStart"/>
      <w:r w:rsidRPr="00D66795">
        <w:rPr>
          <w:rFonts w:ascii="Times New Roman" w:hAnsi="Times New Roman" w:cs="Times New Roman"/>
          <w:sz w:val="24"/>
          <w:szCs w:val="24"/>
        </w:rPr>
        <w:t>Botala</w:t>
      </w:r>
      <w:proofErr w:type="spellEnd"/>
      <w:r w:rsidRPr="00D66795">
        <w:rPr>
          <w:rFonts w:ascii="Times New Roman" w:hAnsi="Times New Roman" w:cs="Times New Roman"/>
          <w:sz w:val="24"/>
          <w:szCs w:val="24"/>
        </w:rPr>
        <w:t xml:space="preserve"> targets a final investment decision (FID) in the second half of 2026 and first LNG production around end-2026 or 2027. Tlou Energy’s Lesedi gas-to-power project remains the other principal development, supported by certified reserves and resources, a 10 MW Power Purchase Agreement (PPA) with the Botswana Power Corporation (BPC), and grid-connection infrastructure (Tlou Energy, n.d.). Kalahari Energy continues to hold </w:t>
      </w:r>
      <w:proofErr w:type="spellStart"/>
      <w:r w:rsidRPr="00D66795">
        <w:rPr>
          <w:rFonts w:ascii="Times New Roman" w:hAnsi="Times New Roman" w:cs="Times New Roman"/>
          <w:sz w:val="24"/>
          <w:szCs w:val="24"/>
        </w:rPr>
        <w:t>licences</w:t>
      </w:r>
      <w:proofErr w:type="spellEnd"/>
      <w:r w:rsidRPr="00D66795">
        <w:rPr>
          <w:rFonts w:ascii="Times New Roman" w:hAnsi="Times New Roman" w:cs="Times New Roman"/>
          <w:sz w:val="24"/>
          <w:szCs w:val="24"/>
        </w:rPr>
        <w:t xml:space="preserve"> but publishes limited current operational detail.</w:t>
      </w:r>
    </w:p>
    <w:p w14:paraId="2866B6D8" w14:textId="77777777" w:rsidR="00EC027C" w:rsidRPr="00D66795" w:rsidRDefault="00000000">
      <w:pPr>
        <w:spacing w:after="120" w:line="276" w:lineRule="auto"/>
        <w:jc w:val="both"/>
        <w:rPr>
          <w:rFonts w:ascii="Times New Roman" w:hAnsi="Times New Roman" w:cs="Times New Roman"/>
          <w:sz w:val="24"/>
          <w:szCs w:val="24"/>
        </w:rPr>
      </w:pPr>
      <w:r w:rsidRPr="00D66795">
        <w:rPr>
          <w:rFonts w:ascii="Times New Roman" w:hAnsi="Times New Roman" w:cs="Times New Roman"/>
          <w:sz w:val="24"/>
          <w:szCs w:val="24"/>
        </w:rPr>
        <w:t>On a basin scale, the U.S. Geological Survey estimated a mean of 4.5 trillion cubic feet (</w:t>
      </w:r>
      <w:proofErr w:type="spellStart"/>
      <w:r w:rsidRPr="00D66795">
        <w:rPr>
          <w:rFonts w:ascii="Times New Roman" w:hAnsi="Times New Roman" w:cs="Times New Roman"/>
          <w:sz w:val="24"/>
          <w:szCs w:val="24"/>
        </w:rPr>
        <w:t>Tcf</w:t>
      </w:r>
      <w:proofErr w:type="spellEnd"/>
      <w:r w:rsidRPr="00D66795">
        <w:rPr>
          <w:rFonts w:ascii="Times New Roman" w:hAnsi="Times New Roman" w:cs="Times New Roman"/>
          <w:sz w:val="24"/>
          <w:szCs w:val="24"/>
        </w:rPr>
        <w:t xml:space="preserve">) of undiscovered, technically recoverable coalbed gas across the Kalahari Basin Province (Botswana, Zambia and Zimbabwe) (U.S. Geological Survey, 2017). Company figures for specific acreage are higher on a prospective basis: </w:t>
      </w:r>
      <w:proofErr w:type="spellStart"/>
      <w:r w:rsidRPr="00D66795">
        <w:rPr>
          <w:rFonts w:ascii="Times New Roman" w:hAnsi="Times New Roman" w:cs="Times New Roman"/>
          <w:sz w:val="24"/>
          <w:szCs w:val="24"/>
        </w:rPr>
        <w:t>Botala</w:t>
      </w:r>
      <w:proofErr w:type="spellEnd"/>
      <w:r w:rsidRPr="00D66795">
        <w:rPr>
          <w:rFonts w:ascii="Times New Roman" w:hAnsi="Times New Roman" w:cs="Times New Roman"/>
          <w:sz w:val="24"/>
          <w:szCs w:val="24"/>
        </w:rPr>
        <w:t xml:space="preserve"> reports 2C contingent resources of 454 billion cubic feet (Bcf) and prospective resources of approximately 7.1 </w:t>
      </w:r>
      <w:proofErr w:type="spellStart"/>
      <w:r w:rsidRPr="00D66795">
        <w:rPr>
          <w:rFonts w:ascii="Times New Roman" w:hAnsi="Times New Roman" w:cs="Times New Roman"/>
          <w:sz w:val="24"/>
          <w:szCs w:val="24"/>
        </w:rPr>
        <w:t>Tcf</w:t>
      </w:r>
      <w:proofErr w:type="spellEnd"/>
      <w:r w:rsidRPr="00D66795">
        <w:rPr>
          <w:rFonts w:ascii="Times New Roman" w:hAnsi="Times New Roman" w:cs="Times New Roman"/>
          <w:sz w:val="24"/>
          <w:szCs w:val="24"/>
        </w:rPr>
        <w:t xml:space="preserve"> (best estimate) following a 2024 Sproule recertification (</w:t>
      </w:r>
      <w:proofErr w:type="spellStart"/>
      <w:r w:rsidRPr="00D66795">
        <w:rPr>
          <w:rFonts w:ascii="Times New Roman" w:hAnsi="Times New Roman" w:cs="Times New Roman"/>
          <w:sz w:val="24"/>
          <w:szCs w:val="24"/>
        </w:rPr>
        <w:t>Botala</w:t>
      </w:r>
      <w:proofErr w:type="spellEnd"/>
      <w:r w:rsidRPr="00D66795">
        <w:rPr>
          <w:rFonts w:ascii="Times New Roman" w:hAnsi="Times New Roman" w:cs="Times New Roman"/>
          <w:sz w:val="24"/>
          <w:szCs w:val="24"/>
        </w:rPr>
        <w:t xml:space="preserve"> Energy, 2024). Tlou reports 2P reserves of 40.8 Bcf, 3P reserves of 426.6 Bcf and 2C contingent resources of 214 Bcf (Tlou Energy, n.d.).</w:t>
      </w:r>
    </w:p>
    <w:p w14:paraId="0781387D" w14:textId="77777777" w:rsidR="00EC027C" w:rsidRPr="00D66795" w:rsidRDefault="00000000">
      <w:pPr>
        <w:spacing w:before="120" w:after="60"/>
        <w:jc w:val="center"/>
        <w:rPr>
          <w:rFonts w:ascii="Times New Roman" w:hAnsi="Times New Roman" w:cs="Times New Roman"/>
          <w:sz w:val="24"/>
          <w:szCs w:val="24"/>
        </w:rPr>
      </w:pPr>
      <w:r w:rsidRPr="00D66795">
        <w:rPr>
          <w:rFonts w:ascii="Times New Roman" w:hAnsi="Times New Roman" w:cs="Times New Roman"/>
          <w:noProof/>
          <w:sz w:val="24"/>
          <w:szCs w:val="24"/>
        </w:rPr>
        <w:lastRenderedPageBreak/>
        <w:drawing>
          <wp:inline distT="0" distB="0" distL="0" distR="0" wp14:anchorId="29FC35B6" wp14:editId="2AF207A6">
            <wp:extent cx="4953000" cy="2800350"/>
            <wp:effectExtent l="0" t="0" r="0" b="0"/>
            <wp:docPr id="1" name="Resource estimates comparison" descr="Resource estimates comparison" title="Resource estimates compar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7"/>
                    <a:srcRect t="5161"/>
                    <a:stretch>
                      <a:fillRect/>
                    </a:stretch>
                  </pic:blipFill>
                  <pic:spPr bwMode="auto">
                    <a:xfrm>
                      <a:off x="0" y="0"/>
                      <a:ext cx="4953000" cy="2800350"/>
                    </a:xfrm>
                    <a:prstGeom prst="rect">
                      <a:avLst/>
                    </a:prstGeom>
                    <a:ln>
                      <a:noFill/>
                    </a:ln>
                    <a:extLst>
                      <a:ext uri="{53640926-AAD7-44D8-BBD7-CCE9431645EC}">
                        <a14:shadowObscured xmlns:a14="http://schemas.microsoft.com/office/drawing/2010/main"/>
                      </a:ext>
                    </a:extLst>
                  </pic:spPr>
                </pic:pic>
              </a:graphicData>
            </a:graphic>
          </wp:inline>
        </w:drawing>
      </w:r>
    </w:p>
    <w:p w14:paraId="0360D9D9" w14:textId="221C37F5" w:rsidR="00EC027C" w:rsidRPr="00D66795" w:rsidRDefault="00000000" w:rsidP="00D66795">
      <w:pPr>
        <w:spacing w:before="60" w:after="200"/>
        <w:rPr>
          <w:rFonts w:ascii="Times New Roman" w:hAnsi="Times New Roman" w:cs="Times New Roman"/>
          <w:sz w:val="24"/>
          <w:szCs w:val="24"/>
        </w:rPr>
      </w:pPr>
      <w:r w:rsidRPr="00D66795">
        <w:rPr>
          <w:rFonts w:ascii="Times New Roman" w:hAnsi="Times New Roman" w:cs="Times New Roman"/>
          <w:sz w:val="24"/>
          <w:szCs w:val="24"/>
        </w:rPr>
        <w:t xml:space="preserve">Figure 1. Selected Botswana CBM resource estimates (Bcf, logarithmic scale). Sources: USGS (2017); </w:t>
      </w:r>
      <w:proofErr w:type="spellStart"/>
      <w:r w:rsidRPr="00D66795">
        <w:rPr>
          <w:rFonts w:ascii="Times New Roman" w:hAnsi="Times New Roman" w:cs="Times New Roman"/>
          <w:sz w:val="24"/>
          <w:szCs w:val="24"/>
        </w:rPr>
        <w:t>Botala</w:t>
      </w:r>
      <w:proofErr w:type="spellEnd"/>
      <w:r w:rsidRPr="00D66795">
        <w:rPr>
          <w:rFonts w:ascii="Times New Roman" w:hAnsi="Times New Roman" w:cs="Times New Roman"/>
          <w:sz w:val="24"/>
          <w:szCs w:val="24"/>
        </w:rPr>
        <w:t xml:space="preserve"> Energy (2024); </w:t>
      </w:r>
    </w:p>
    <w:p w14:paraId="3592036B" w14:textId="77777777" w:rsidR="00EC027C" w:rsidRPr="00D66795" w:rsidRDefault="00000000">
      <w:pPr>
        <w:spacing w:after="120" w:line="276" w:lineRule="auto"/>
        <w:jc w:val="both"/>
        <w:rPr>
          <w:rFonts w:ascii="Times New Roman" w:hAnsi="Times New Roman" w:cs="Times New Roman"/>
          <w:sz w:val="24"/>
          <w:szCs w:val="24"/>
        </w:rPr>
      </w:pPr>
      <w:r w:rsidRPr="00D66795">
        <w:rPr>
          <w:rFonts w:ascii="Times New Roman" w:hAnsi="Times New Roman" w:cs="Times New Roman"/>
          <w:sz w:val="24"/>
          <w:szCs w:val="24"/>
        </w:rPr>
        <w:t>Key trends include growing state equity participation, modular LNG and gas-to-power pathways designed to address domestic power deficits and Southern Africa’s emerging gas shortfall, and regulatory clarification of CBM under the amended Mines and Minerals Act. Constraints remain high capital intensity, limited pipeline and processing infrastructure, offtake certainty beyond initial agreements, and the requirement to convert contingent resources into reserves via sustained commercial flow rates.</w:t>
      </w:r>
    </w:p>
    <w:p w14:paraId="3D99F271" w14:textId="77777777" w:rsidR="00EC027C" w:rsidRPr="00D66795" w:rsidRDefault="00000000">
      <w:pPr>
        <w:spacing w:after="120" w:line="276" w:lineRule="auto"/>
        <w:jc w:val="both"/>
        <w:rPr>
          <w:rFonts w:ascii="Times New Roman" w:hAnsi="Times New Roman" w:cs="Times New Roman"/>
          <w:sz w:val="24"/>
          <w:szCs w:val="24"/>
        </w:rPr>
      </w:pPr>
      <w:r w:rsidRPr="00D66795">
        <w:rPr>
          <w:rFonts w:ascii="Times New Roman" w:hAnsi="Times New Roman" w:cs="Times New Roman"/>
          <w:sz w:val="24"/>
          <w:szCs w:val="24"/>
        </w:rPr>
        <w:t xml:space="preserve">The most significant near-term intelligence indicators are </w:t>
      </w:r>
      <w:proofErr w:type="spellStart"/>
      <w:r w:rsidRPr="00D66795">
        <w:rPr>
          <w:rFonts w:ascii="Times New Roman" w:hAnsi="Times New Roman" w:cs="Times New Roman"/>
          <w:sz w:val="24"/>
          <w:szCs w:val="24"/>
        </w:rPr>
        <w:t>Botala’s</w:t>
      </w:r>
      <w:proofErr w:type="spellEnd"/>
      <w:r w:rsidRPr="00D66795">
        <w:rPr>
          <w:rFonts w:ascii="Times New Roman" w:hAnsi="Times New Roman" w:cs="Times New Roman"/>
          <w:sz w:val="24"/>
          <w:szCs w:val="24"/>
        </w:rPr>
        <w:t xml:space="preserve"> extended flow-test results and independent resource-to-reserve conversion, FID and financing close, progress on any BPC CBM pilot tenders, and Tlou first-generation milestones.</w:t>
      </w:r>
    </w:p>
    <w:p w14:paraId="55F6B955" w14:textId="42B8BDD3" w:rsidR="00EC027C" w:rsidRPr="00D66795" w:rsidRDefault="00000000">
      <w:pPr>
        <w:pStyle w:val="Heading1"/>
        <w:rPr>
          <w:rFonts w:ascii="Times New Roman" w:hAnsi="Times New Roman" w:cs="Times New Roman"/>
          <w:color w:val="auto"/>
          <w:sz w:val="24"/>
          <w:szCs w:val="24"/>
        </w:rPr>
      </w:pPr>
      <w:r w:rsidRPr="00D66795">
        <w:rPr>
          <w:rFonts w:ascii="Times New Roman" w:hAnsi="Times New Roman" w:cs="Times New Roman"/>
          <w:color w:val="auto"/>
          <w:sz w:val="24"/>
          <w:szCs w:val="24"/>
        </w:rPr>
        <w:t xml:space="preserve">Introduction </w:t>
      </w:r>
    </w:p>
    <w:p w14:paraId="7530DB60" w14:textId="77777777" w:rsidR="00EC027C" w:rsidRPr="00D66795" w:rsidRDefault="00000000">
      <w:pPr>
        <w:spacing w:after="120" w:line="276" w:lineRule="auto"/>
        <w:jc w:val="both"/>
        <w:rPr>
          <w:rFonts w:ascii="Times New Roman" w:hAnsi="Times New Roman" w:cs="Times New Roman"/>
          <w:sz w:val="24"/>
          <w:szCs w:val="24"/>
        </w:rPr>
      </w:pPr>
      <w:r w:rsidRPr="00D66795">
        <w:rPr>
          <w:rFonts w:ascii="Times New Roman" w:hAnsi="Times New Roman" w:cs="Times New Roman"/>
          <w:sz w:val="24"/>
          <w:szCs w:val="24"/>
        </w:rPr>
        <w:t>Coal-bed methane is natural gas adsorbed within coal seams and liberated by reducing reservoir pressure, primarily through dewatering. In Botswana, CBM offers a domestic, relatively lower-carbon alternative to imported liquid fuels and electricity, with potential applications in power generation, mining, industry and modular LNG or compressed natural gas (CNG) supply into the Southern African market (</w:t>
      </w:r>
      <w:proofErr w:type="spellStart"/>
      <w:r w:rsidRPr="00D66795">
        <w:rPr>
          <w:rFonts w:ascii="Times New Roman" w:hAnsi="Times New Roman" w:cs="Times New Roman"/>
          <w:sz w:val="24"/>
          <w:szCs w:val="24"/>
        </w:rPr>
        <w:t>Botala</w:t>
      </w:r>
      <w:proofErr w:type="spellEnd"/>
      <w:r w:rsidRPr="00D66795">
        <w:rPr>
          <w:rFonts w:ascii="Times New Roman" w:hAnsi="Times New Roman" w:cs="Times New Roman"/>
          <w:sz w:val="24"/>
          <w:szCs w:val="24"/>
        </w:rPr>
        <w:t xml:space="preserve"> Energy, 2026a).</w:t>
      </w:r>
    </w:p>
    <w:p w14:paraId="6E5CE87C" w14:textId="269AD583" w:rsidR="00EC027C" w:rsidRPr="00D66795" w:rsidRDefault="00000000">
      <w:pPr>
        <w:spacing w:after="120" w:line="276" w:lineRule="auto"/>
        <w:jc w:val="both"/>
        <w:rPr>
          <w:rFonts w:ascii="Times New Roman" w:hAnsi="Times New Roman" w:cs="Times New Roman"/>
          <w:sz w:val="24"/>
          <w:szCs w:val="24"/>
        </w:rPr>
      </w:pPr>
      <w:r w:rsidRPr="00D66795">
        <w:rPr>
          <w:rFonts w:ascii="Times New Roman" w:hAnsi="Times New Roman" w:cs="Times New Roman"/>
          <w:sz w:val="24"/>
          <w:szCs w:val="24"/>
        </w:rPr>
        <w:t xml:space="preserve">This intelligence note assesses Botswana’s CBM investment environment as of September 2026. It covers resource potential, the evolution of the sector, current investment activity, major projects, key companies, the regulatory and fiscal framework, infrastructure requirements, domestic and regional markets, financing conditions, risks and emerging opportunities. The note distinguishes confirmed activity, announced plans and contingent proposals. Methodology </w:t>
      </w:r>
      <w:r w:rsidR="00D66795" w:rsidRPr="00D66795">
        <w:rPr>
          <w:rFonts w:ascii="Times New Roman" w:hAnsi="Times New Roman" w:cs="Times New Roman"/>
          <w:sz w:val="24"/>
          <w:szCs w:val="24"/>
        </w:rPr>
        <w:t>prioritizes</w:t>
      </w:r>
      <w:r w:rsidRPr="00D66795">
        <w:rPr>
          <w:rFonts w:ascii="Times New Roman" w:hAnsi="Times New Roman" w:cs="Times New Roman"/>
          <w:sz w:val="24"/>
          <w:szCs w:val="24"/>
        </w:rPr>
        <w:t xml:space="preserve"> primary sources</w:t>
      </w:r>
      <w:r w:rsidR="00D66795">
        <w:rPr>
          <w:rFonts w:ascii="Times New Roman" w:hAnsi="Times New Roman" w:cs="Times New Roman"/>
          <w:sz w:val="24"/>
          <w:szCs w:val="24"/>
        </w:rPr>
        <w:t xml:space="preserve"> </w:t>
      </w:r>
      <w:r w:rsidRPr="00D66795">
        <w:rPr>
          <w:rFonts w:ascii="Times New Roman" w:hAnsi="Times New Roman" w:cs="Times New Roman"/>
          <w:sz w:val="24"/>
          <w:szCs w:val="24"/>
        </w:rPr>
        <w:t>company regulatory announcements (ASX/BSE), government statements, legislative texts and official assessments</w:t>
      </w:r>
      <w:r w:rsidR="00D66795">
        <w:rPr>
          <w:rFonts w:ascii="Times New Roman" w:hAnsi="Times New Roman" w:cs="Times New Roman"/>
          <w:sz w:val="24"/>
          <w:szCs w:val="24"/>
        </w:rPr>
        <w:t xml:space="preserve"> </w:t>
      </w:r>
      <w:r w:rsidRPr="00D66795">
        <w:rPr>
          <w:rFonts w:ascii="Times New Roman" w:hAnsi="Times New Roman" w:cs="Times New Roman"/>
          <w:sz w:val="24"/>
          <w:szCs w:val="24"/>
        </w:rPr>
        <w:t xml:space="preserve">supplemented by </w:t>
      </w:r>
      <w:r w:rsidR="00D66795" w:rsidRPr="00D66795">
        <w:rPr>
          <w:rFonts w:ascii="Times New Roman" w:hAnsi="Times New Roman" w:cs="Times New Roman"/>
          <w:sz w:val="24"/>
          <w:szCs w:val="24"/>
        </w:rPr>
        <w:t>specialized</w:t>
      </w:r>
      <w:r w:rsidRPr="00D66795">
        <w:rPr>
          <w:rFonts w:ascii="Times New Roman" w:hAnsi="Times New Roman" w:cs="Times New Roman"/>
          <w:sz w:val="24"/>
          <w:szCs w:val="24"/>
        </w:rPr>
        <w:t xml:space="preserve"> energy reporting. Company forward-looking </w:t>
      </w:r>
      <w:r w:rsidRPr="00D66795">
        <w:rPr>
          <w:rFonts w:ascii="Times New Roman" w:hAnsi="Times New Roman" w:cs="Times New Roman"/>
          <w:sz w:val="24"/>
          <w:szCs w:val="24"/>
        </w:rPr>
        <w:lastRenderedPageBreak/>
        <w:t>statements are identified as targets rather than established facts. Where reliable data are unavailable, this is stated explicitly.</w:t>
      </w:r>
    </w:p>
    <w:p w14:paraId="7D4FCB90" w14:textId="0394AC8A" w:rsidR="00EC027C" w:rsidRPr="00D66795" w:rsidRDefault="00000000">
      <w:pPr>
        <w:pStyle w:val="Heading1"/>
        <w:rPr>
          <w:rFonts w:ascii="Times New Roman" w:hAnsi="Times New Roman" w:cs="Times New Roman"/>
          <w:color w:val="auto"/>
          <w:sz w:val="24"/>
          <w:szCs w:val="24"/>
        </w:rPr>
      </w:pPr>
      <w:r w:rsidRPr="00D66795">
        <w:rPr>
          <w:rFonts w:ascii="Times New Roman" w:hAnsi="Times New Roman" w:cs="Times New Roman"/>
          <w:color w:val="auto"/>
          <w:sz w:val="24"/>
          <w:szCs w:val="24"/>
        </w:rPr>
        <w:t>Botswana’s CBM Resource Base</w:t>
      </w:r>
    </w:p>
    <w:p w14:paraId="79415084" w14:textId="77777777" w:rsidR="00EC027C" w:rsidRPr="00D66795" w:rsidRDefault="00000000">
      <w:pPr>
        <w:spacing w:after="120" w:line="276" w:lineRule="auto"/>
        <w:jc w:val="both"/>
        <w:rPr>
          <w:rFonts w:ascii="Times New Roman" w:hAnsi="Times New Roman" w:cs="Times New Roman"/>
          <w:sz w:val="24"/>
          <w:szCs w:val="24"/>
        </w:rPr>
      </w:pPr>
      <w:r w:rsidRPr="00D66795">
        <w:rPr>
          <w:rFonts w:ascii="Times New Roman" w:hAnsi="Times New Roman" w:cs="Times New Roman"/>
          <w:sz w:val="24"/>
          <w:szCs w:val="24"/>
        </w:rPr>
        <w:t xml:space="preserve">The principal CBM-bearing geology occurs within the Karoo Supergroup coals of the Kalahari Basin, particularly the </w:t>
      </w:r>
      <w:proofErr w:type="spellStart"/>
      <w:r w:rsidRPr="00D66795">
        <w:rPr>
          <w:rFonts w:ascii="Times New Roman" w:hAnsi="Times New Roman" w:cs="Times New Roman"/>
          <w:sz w:val="24"/>
          <w:szCs w:val="24"/>
        </w:rPr>
        <w:t>Serowe</w:t>
      </w:r>
      <w:proofErr w:type="spellEnd"/>
      <w:r w:rsidRPr="00D66795">
        <w:rPr>
          <w:rFonts w:ascii="Times New Roman" w:hAnsi="Times New Roman" w:cs="Times New Roman"/>
          <w:sz w:val="24"/>
          <w:szCs w:val="24"/>
        </w:rPr>
        <w:t xml:space="preserve"> and Morupule seams and related intervals. The U.S. Geological Survey (2017) applied a geology-based assessment methodology and estimated a mean of 4.5 </w:t>
      </w:r>
      <w:proofErr w:type="spellStart"/>
      <w:r w:rsidRPr="00D66795">
        <w:rPr>
          <w:rFonts w:ascii="Times New Roman" w:hAnsi="Times New Roman" w:cs="Times New Roman"/>
          <w:sz w:val="24"/>
          <w:szCs w:val="24"/>
        </w:rPr>
        <w:t>Tcf</w:t>
      </w:r>
      <w:proofErr w:type="spellEnd"/>
      <w:r w:rsidRPr="00D66795">
        <w:rPr>
          <w:rFonts w:ascii="Times New Roman" w:hAnsi="Times New Roman" w:cs="Times New Roman"/>
          <w:sz w:val="24"/>
          <w:szCs w:val="24"/>
        </w:rPr>
        <w:t xml:space="preserve"> of undiscovered, technically recoverable coalbed gas for the Kalahari Basin Province (Botswana–Zambia–Zimbabwe), with an F95–F5 range of approximately 0.6–11.7 </w:t>
      </w:r>
      <w:proofErr w:type="spellStart"/>
      <w:r w:rsidRPr="00D66795">
        <w:rPr>
          <w:rFonts w:ascii="Times New Roman" w:hAnsi="Times New Roman" w:cs="Times New Roman"/>
          <w:sz w:val="24"/>
          <w:szCs w:val="24"/>
        </w:rPr>
        <w:t>Tcf</w:t>
      </w:r>
      <w:proofErr w:type="spellEnd"/>
      <w:r w:rsidRPr="00D66795">
        <w:rPr>
          <w:rFonts w:ascii="Times New Roman" w:hAnsi="Times New Roman" w:cs="Times New Roman"/>
          <w:sz w:val="24"/>
          <w:szCs w:val="24"/>
        </w:rPr>
        <w:t>.</w:t>
      </w:r>
    </w:p>
    <w:p w14:paraId="59BAC5DF" w14:textId="509E0423" w:rsidR="00EC027C" w:rsidRPr="00D66795" w:rsidRDefault="00000000">
      <w:pPr>
        <w:spacing w:after="120" w:line="276" w:lineRule="auto"/>
        <w:jc w:val="both"/>
        <w:rPr>
          <w:rFonts w:ascii="Times New Roman" w:hAnsi="Times New Roman" w:cs="Times New Roman"/>
          <w:sz w:val="24"/>
          <w:szCs w:val="24"/>
        </w:rPr>
      </w:pPr>
      <w:r w:rsidRPr="00D66795">
        <w:rPr>
          <w:rFonts w:ascii="Times New Roman" w:hAnsi="Times New Roman" w:cs="Times New Roman"/>
          <w:sz w:val="24"/>
          <w:szCs w:val="24"/>
        </w:rPr>
        <w:t xml:space="preserve">Company-reported volumes for specific </w:t>
      </w:r>
      <w:r w:rsidR="00D66795" w:rsidRPr="00D66795">
        <w:rPr>
          <w:rFonts w:ascii="Times New Roman" w:hAnsi="Times New Roman" w:cs="Times New Roman"/>
          <w:sz w:val="24"/>
          <w:szCs w:val="24"/>
        </w:rPr>
        <w:t>license</w:t>
      </w:r>
      <w:r w:rsidRPr="00D66795">
        <w:rPr>
          <w:rFonts w:ascii="Times New Roman" w:hAnsi="Times New Roman" w:cs="Times New Roman"/>
          <w:sz w:val="24"/>
          <w:szCs w:val="24"/>
        </w:rPr>
        <w:t xml:space="preserve"> areas are higher on a prospective basis but remain largely contingent or prospective:</w:t>
      </w:r>
    </w:p>
    <w:p w14:paraId="6D45E7D5" w14:textId="77777777" w:rsidR="00EC027C" w:rsidRPr="00D66795" w:rsidRDefault="00000000">
      <w:pPr>
        <w:pStyle w:val="ListParagraph"/>
        <w:numPr>
          <w:ilvl w:val="0"/>
          <w:numId w:val="2"/>
        </w:numPr>
        <w:spacing w:after="80" w:line="276" w:lineRule="auto"/>
        <w:rPr>
          <w:rFonts w:ascii="Times New Roman" w:hAnsi="Times New Roman" w:cs="Times New Roman"/>
          <w:sz w:val="24"/>
          <w:szCs w:val="24"/>
        </w:rPr>
      </w:pPr>
      <w:proofErr w:type="spellStart"/>
      <w:r w:rsidRPr="00D66795">
        <w:rPr>
          <w:rFonts w:ascii="Times New Roman" w:hAnsi="Times New Roman" w:cs="Times New Roman"/>
          <w:sz w:val="24"/>
          <w:szCs w:val="24"/>
        </w:rPr>
        <w:t>Botala</w:t>
      </w:r>
      <w:proofErr w:type="spellEnd"/>
      <w:r w:rsidRPr="00D66795">
        <w:rPr>
          <w:rFonts w:ascii="Times New Roman" w:hAnsi="Times New Roman" w:cs="Times New Roman"/>
          <w:sz w:val="24"/>
          <w:szCs w:val="24"/>
        </w:rPr>
        <w:t xml:space="preserve"> </w:t>
      </w:r>
      <w:proofErr w:type="spellStart"/>
      <w:r w:rsidRPr="00D66795">
        <w:rPr>
          <w:rFonts w:ascii="Times New Roman" w:hAnsi="Times New Roman" w:cs="Times New Roman"/>
          <w:sz w:val="24"/>
          <w:szCs w:val="24"/>
        </w:rPr>
        <w:t>Serowe</w:t>
      </w:r>
      <w:proofErr w:type="spellEnd"/>
      <w:r w:rsidRPr="00D66795">
        <w:rPr>
          <w:rFonts w:ascii="Times New Roman" w:hAnsi="Times New Roman" w:cs="Times New Roman"/>
          <w:sz w:val="24"/>
          <w:szCs w:val="24"/>
        </w:rPr>
        <w:t xml:space="preserve"> (Sproule recertification, July 2024): 2C contingent resources 454 Bcf (up 42% from 317 Bcf); prospective resources best estimate ≈ 7.1 </w:t>
      </w:r>
      <w:proofErr w:type="spellStart"/>
      <w:r w:rsidRPr="00D66795">
        <w:rPr>
          <w:rFonts w:ascii="Times New Roman" w:hAnsi="Times New Roman" w:cs="Times New Roman"/>
          <w:sz w:val="24"/>
          <w:szCs w:val="24"/>
        </w:rPr>
        <w:t>Tcf</w:t>
      </w:r>
      <w:proofErr w:type="spellEnd"/>
      <w:r w:rsidRPr="00D66795">
        <w:rPr>
          <w:rFonts w:ascii="Times New Roman" w:hAnsi="Times New Roman" w:cs="Times New Roman"/>
          <w:sz w:val="24"/>
          <w:szCs w:val="24"/>
        </w:rPr>
        <w:t xml:space="preserve"> (</w:t>
      </w:r>
      <w:proofErr w:type="spellStart"/>
      <w:r w:rsidRPr="00D66795">
        <w:rPr>
          <w:rFonts w:ascii="Times New Roman" w:hAnsi="Times New Roman" w:cs="Times New Roman"/>
          <w:sz w:val="24"/>
          <w:szCs w:val="24"/>
        </w:rPr>
        <w:t>Botala</w:t>
      </w:r>
      <w:proofErr w:type="spellEnd"/>
      <w:r w:rsidRPr="00D66795">
        <w:rPr>
          <w:rFonts w:ascii="Times New Roman" w:hAnsi="Times New Roman" w:cs="Times New Roman"/>
          <w:sz w:val="24"/>
          <w:szCs w:val="24"/>
        </w:rPr>
        <w:t xml:space="preserve"> Energy, 2024).</w:t>
      </w:r>
    </w:p>
    <w:p w14:paraId="2DDBBED5" w14:textId="77777777" w:rsidR="00EC027C" w:rsidRPr="00D66795" w:rsidRDefault="00000000">
      <w:pPr>
        <w:pStyle w:val="ListParagraph"/>
        <w:numPr>
          <w:ilvl w:val="0"/>
          <w:numId w:val="2"/>
        </w:numPr>
        <w:spacing w:after="80" w:line="276" w:lineRule="auto"/>
        <w:rPr>
          <w:rFonts w:ascii="Times New Roman" w:hAnsi="Times New Roman" w:cs="Times New Roman"/>
          <w:sz w:val="24"/>
          <w:szCs w:val="24"/>
        </w:rPr>
      </w:pPr>
      <w:r w:rsidRPr="00D66795">
        <w:rPr>
          <w:rFonts w:ascii="Times New Roman" w:hAnsi="Times New Roman" w:cs="Times New Roman"/>
          <w:sz w:val="24"/>
          <w:szCs w:val="24"/>
        </w:rPr>
        <w:t>Tlou Energy: 2P reserves 40.8 Bcf, 3P reserves 426.6 Bcf, 2C contingent resources 214 Bcf (Tlou Energy, n.d.).</w:t>
      </w:r>
    </w:p>
    <w:p w14:paraId="6234ACF2" w14:textId="77777777" w:rsidR="00EC027C" w:rsidRPr="00D66795" w:rsidRDefault="00000000">
      <w:pPr>
        <w:pStyle w:val="ListParagraph"/>
        <w:numPr>
          <w:ilvl w:val="0"/>
          <w:numId w:val="2"/>
        </w:numPr>
        <w:spacing w:after="80" w:line="276" w:lineRule="auto"/>
        <w:rPr>
          <w:rFonts w:ascii="Times New Roman" w:hAnsi="Times New Roman" w:cs="Times New Roman"/>
          <w:sz w:val="24"/>
          <w:szCs w:val="24"/>
        </w:rPr>
      </w:pPr>
      <w:r w:rsidRPr="00D66795">
        <w:rPr>
          <w:rFonts w:ascii="Times New Roman" w:hAnsi="Times New Roman" w:cs="Times New Roman"/>
          <w:sz w:val="24"/>
          <w:szCs w:val="24"/>
        </w:rPr>
        <w:t>Historical operator estimates (e.g., Magnum/Kalahari-related) have cited multi-</w:t>
      </w:r>
      <w:proofErr w:type="spellStart"/>
      <w:r w:rsidRPr="00D66795">
        <w:rPr>
          <w:rFonts w:ascii="Times New Roman" w:hAnsi="Times New Roman" w:cs="Times New Roman"/>
          <w:sz w:val="24"/>
          <w:szCs w:val="24"/>
        </w:rPr>
        <w:t>Tcf</w:t>
      </w:r>
      <w:proofErr w:type="spellEnd"/>
      <w:r w:rsidRPr="00D66795">
        <w:rPr>
          <w:rFonts w:ascii="Times New Roman" w:hAnsi="Times New Roman" w:cs="Times New Roman"/>
          <w:sz w:val="24"/>
          <w:szCs w:val="24"/>
        </w:rPr>
        <w:t xml:space="preserve"> gas-in-place figures that have not been independently converted to commercial reserves at scale.</w:t>
      </w:r>
    </w:p>
    <w:p w14:paraId="19DBA944" w14:textId="77777777" w:rsidR="00EC027C" w:rsidRPr="00D66795" w:rsidRDefault="00000000">
      <w:pPr>
        <w:spacing w:after="120" w:line="276" w:lineRule="auto"/>
        <w:jc w:val="both"/>
        <w:rPr>
          <w:rFonts w:ascii="Times New Roman" w:hAnsi="Times New Roman" w:cs="Times New Roman"/>
          <w:sz w:val="24"/>
          <w:szCs w:val="24"/>
        </w:rPr>
      </w:pPr>
      <w:r w:rsidRPr="00D66795">
        <w:rPr>
          <w:rFonts w:ascii="Times New Roman" w:hAnsi="Times New Roman" w:cs="Times New Roman"/>
          <w:sz w:val="24"/>
          <w:szCs w:val="24"/>
        </w:rPr>
        <w:t xml:space="preserve">Reliability is moderate for contingent resources, which are supported by core, desorption and limited flow data, but lower for prospective volumes that require further delineation and demonstration of commercial flow rates. Geological and technical factors include moderate gas content, variable permeability (stimulation is frequently required), and the necessity of sustained dewatering. In the </w:t>
      </w:r>
      <w:proofErr w:type="spellStart"/>
      <w:r w:rsidRPr="00D66795">
        <w:rPr>
          <w:rFonts w:ascii="Times New Roman" w:hAnsi="Times New Roman" w:cs="Times New Roman"/>
          <w:sz w:val="24"/>
          <w:szCs w:val="24"/>
        </w:rPr>
        <w:t>Serowe</w:t>
      </w:r>
      <w:proofErr w:type="spellEnd"/>
      <w:r w:rsidRPr="00D66795">
        <w:rPr>
          <w:rFonts w:ascii="Times New Roman" w:hAnsi="Times New Roman" w:cs="Times New Roman"/>
          <w:sz w:val="24"/>
          <w:szCs w:val="24"/>
        </w:rPr>
        <w:t xml:space="preserve"> area, key seams occur at relatively shallow depths of approximately 300–400 m, which can reduce development costs relative to deeper basins (</w:t>
      </w:r>
      <w:proofErr w:type="spellStart"/>
      <w:r w:rsidRPr="00D66795">
        <w:rPr>
          <w:rFonts w:ascii="Times New Roman" w:hAnsi="Times New Roman" w:cs="Times New Roman"/>
          <w:sz w:val="24"/>
          <w:szCs w:val="24"/>
        </w:rPr>
        <w:t>Botala</w:t>
      </w:r>
      <w:proofErr w:type="spellEnd"/>
      <w:r w:rsidRPr="00D66795">
        <w:rPr>
          <w:rFonts w:ascii="Times New Roman" w:hAnsi="Times New Roman" w:cs="Times New Roman"/>
          <w:sz w:val="24"/>
          <w:szCs w:val="24"/>
        </w:rPr>
        <w:t xml:space="preserve"> Energy, 2026a).</w:t>
      </w:r>
    </w:p>
    <w:p w14:paraId="1AF95804" w14:textId="77777777" w:rsidR="00EC027C" w:rsidRPr="00D66795" w:rsidRDefault="00000000">
      <w:pPr>
        <w:pStyle w:val="Heading2"/>
        <w:rPr>
          <w:rFonts w:ascii="Times New Roman" w:hAnsi="Times New Roman" w:cs="Times New Roman"/>
          <w:color w:val="auto"/>
        </w:rPr>
      </w:pPr>
      <w:r w:rsidRPr="00D66795">
        <w:rPr>
          <w:rFonts w:ascii="Times New Roman" w:hAnsi="Times New Roman" w:cs="Times New Roman"/>
          <w:color w:val="auto"/>
        </w:rPr>
        <w:t>Table 1. Major CBM Areas and Selected Resource Estimates</w:t>
      </w:r>
    </w:p>
    <w:tbl>
      <w:tblPr>
        <w:tblStyle w:val="TableGrid"/>
        <w:tblW w:w="10080" w:type="dxa"/>
        <w:tblLook w:val="04A0" w:firstRow="1" w:lastRow="0" w:firstColumn="1" w:lastColumn="0" w:noHBand="0" w:noVBand="1"/>
      </w:tblPr>
      <w:tblGrid>
        <w:gridCol w:w="2400"/>
        <w:gridCol w:w="1800"/>
        <w:gridCol w:w="1285"/>
        <w:gridCol w:w="2160"/>
        <w:gridCol w:w="2435"/>
      </w:tblGrid>
      <w:tr w:rsidR="00D66795" w:rsidRPr="00D66795" w14:paraId="38932C52" w14:textId="77777777" w:rsidTr="00D66795">
        <w:tc>
          <w:tcPr>
            <w:tcW w:w="2400" w:type="dxa"/>
          </w:tcPr>
          <w:p w14:paraId="6AB261C6"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b/>
                <w:bCs/>
                <w:sz w:val="24"/>
                <w:szCs w:val="24"/>
              </w:rPr>
              <w:t>Area / Operator</w:t>
            </w:r>
          </w:p>
        </w:tc>
        <w:tc>
          <w:tcPr>
            <w:tcW w:w="1800" w:type="dxa"/>
          </w:tcPr>
          <w:p w14:paraId="585DDE57"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b/>
                <w:bCs/>
                <w:sz w:val="24"/>
                <w:szCs w:val="24"/>
              </w:rPr>
              <w:t>Category</w:t>
            </w:r>
          </w:p>
        </w:tc>
        <w:tc>
          <w:tcPr>
            <w:tcW w:w="1285" w:type="dxa"/>
          </w:tcPr>
          <w:p w14:paraId="2427A1A6"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b/>
                <w:bCs/>
                <w:sz w:val="24"/>
                <w:szCs w:val="24"/>
              </w:rPr>
              <w:t>Volume</w:t>
            </w:r>
          </w:p>
        </w:tc>
        <w:tc>
          <w:tcPr>
            <w:tcW w:w="2160" w:type="dxa"/>
          </w:tcPr>
          <w:p w14:paraId="1F712251"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b/>
                <w:bCs/>
                <w:sz w:val="24"/>
                <w:szCs w:val="24"/>
              </w:rPr>
              <w:t>Date / Source</w:t>
            </w:r>
          </w:p>
        </w:tc>
        <w:tc>
          <w:tcPr>
            <w:tcW w:w="2435" w:type="dxa"/>
          </w:tcPr>
          <w:p w14:paraId="523E3C11"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b/>
                <w:bCs/>
                <w:sz w:val="24"/>
                <w:szCs w:val="24"/>
              </w:rPr>
              <w:t>Notes</w:t>
            </w:r>
          </w:p>
        </w:tc>
      </w:tr>
      <w:tr w:rsidR="00D66795" w:rsidRPr="00D66795" w14:paraId="0BFB0D0E" w14:textId="77777777" w:rsidTr="00D66795">
        <w:tc>
          <w:tcPr>
            <w:tcW w:w="2400" w:type="dxa"/>
          </w:tcPr>
          <w:p w14:paraId="01181EF5"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sz w:val="24"/>
                <w:szCs w:val="24"/>
              </w:rPr>
              <w:t>Kalahari Basin Province</w:t>
            </w:r>
          </w:p>
        </w:tc>
        <w:tc>
          <w:tcPr>
            <w:tcW w:w="1800" w:type="dxa"/>
          </w:tcPr>
          <w:p w14:paraId="15685654"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sz w:val="24"/>
                <w:szCs w:val="24"/>
              </w:rPr>
              <w:t>Undiscovered TRR (mean)</w:t>
            </w:r>
          </w:p>
        </w:tc>
        <w:tc>
          <w:tcPr>
            <w:tcW w:w="1285" w:type="dxa"/>
          </w:tcPr>
          <w:p w14:paraId="5EC48645"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sz w:val="24"/>
                <w:szCs w:val="24"/>
              </w:rPr>
              <w:t xml:space="preserve">4.5 </w:t>
            </w:r>
            <w:proofErr w:type="spellStart"/>
            <w:r w:rsidRPr="00D66795">
              <w:rPr>
                <w:rFonts w:ascii="Times New Roman" w:hAnsi="Times New Roman" w:cs="Times New Roman"/>
                <w:sz w:val="24"/>
                <w:szCs w:val="24"/>
              </w:rPr>
              <w:t>Tcf</w:t>
            </w:r>
            <w:proofErr w:type="spellEnd"/>
          </w:p>
        </w:tc>
        <w:tc>
          <w:tcPr>
            <w:tcW w:w="2160" w:type="dxa"/>
          </w:tcPr>
          <w:p w14:paraId="345FDB6C"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sz w:val="24"/>
                <w:szCs w:val="24"/>
              </w:rPr>
              <w:t>USGS 2017</w:t>
            </w:r>
          </w:p>
        </w:tc>
        <w:tc>
          <w:tcPr>
            <w:tcW w:w="2435" w:type="dxa"/>
          </w:tcPr>
          <w:p w14:paraId="5C719201"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sz w:val="24"/>
                <w:szCs w:val="24"/>
              </w:rPr>
              <w:t>Botswana + Zambia + Zimbabwe</w:t>
            </w:r>
          </w:p>
        </w:tc>
      </w:tr>
      <w:tr w:rsidR="00D66795" w:rsidRPr="00D66795" w14:paraId="51B9CD31" w14:textId="77777777" w:rsidTr="00D66795">
        <w:tc>
          <w:tcPr>
            <w:tcW w:w="2400" w:type="dxa"/>
          </w:tcPr>
          <w:p w14:paraId="393079A6" w14:textId="77777777" w:rsidR="00EC027C" w:rsidRPr="00D66795" w:rsidRDefault="00000000">
            <w:pPr>
              <w:rPr>
                <w:rFonts w:ascii="Times New Roman" w:hAnsi="Times New Roman" w:cs="Times New Roman"/>
                <w:sz w:val="24"/>
                <w:szCs w:val="24"/>
              </w:rPr>
            </w:pPr>
            <w:proofErr w:type="spellStart"/>
            <w:r w:rsidRPr="00D66795">
              <w:rPr>
                <w:rFonts w:ascii="Times New Roman" w:hAnsi="Times New Roman" w:cs="Times New Roman"/>
                <w:sz w:val="24"/>
                <w:szCs w:val="24"/>
              </w:rPr>
              <w:t>Botala</w:t>
            </w:r>
            <w:proofErr w:type="spellEnd"/>
            <w:r w:rsidRPr="00D66795">
              <w:rPr>
                <w:rFonts w:ascii="Times New Roman" w:hAnsi="Times New Roman" w:cs="Times New Roman"/>
                <w:sz w:val="24"/>
                <w:szCs w:val="24"/>
              </w:rPr>
              <w:t xml:space="preserve"> </w:t>
            </w:r>
            <w:proofErr w:type="spellStart"/>
            <w:r w:rsidRPr="00D66795">
              <w:rPr>
                <w:rFonts w:ascii="Times New Roman" w:hAnsi="Times New Roman" w:cs="Times New Roman"/>
                <w:sz w:val="24"/>
                <w:szCs w:val="24"/>
              </w:rPr>
              <w:t>Serowe</w:t>
            </w:r>
            <w:proofErr w:type="spellEnd"/>
          </w:p>
        </w:tc>
        <w:tc>
          <w:tcPr>
            <w:tcW w:w="1800" w:type="dxa"/>
          </w:tcPr>
          <w:p w14:paraId="13B7AB8D"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sz w:val="24"/>
                <w:szCs w:val="24"/>
              </w:rPr>
              <w:t>2C Contingent</w:t>
            </w:r>
          </w:p>
        </w:tc>
        <w:tc>
          <w:tcPr>
            <w:tcW w:w="1285" w:type="dxa"/>
          </w:tcPr>
          <w:p w14:paraId="083CF653"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sz w:val="24"/>
                <w:szCs w:val="24"/>
              </w:rPr>
              <w:t>454 Bcf</w:t>
            </w:r>
          </w:p>
        </w:tc>
        <w:tc>
          <w:tcPr>
            <w:tcW w:w="2160" w:type="dxa"/>
          </w:tcPr>
          <w:p w14:paraId="25C2872D"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sz w:val="24"/>
                <w:szCs w:val="24"/>
              </w:rPr>
              <w:t>Sproule Jul 2024</w:t>
            </w:r>
          </w:p>
        </w:tc>
        <w:tc>
          <w:tcPr>
            <w:tcW w:w="2435" w:type="dxa"/>
          </w:tcPr>
          <w:p w14:paraId="32C88597"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sz w:val="24"/>
                <w:szCs w:val="24"/>
              </w:rPr>
              <w:t>Best estimate; prior 317 Bcf</w:t>
            </w:r>
          </w:p>
        </w:tc>
      </w:tr>
      <w:tr w:rsidR="00D66795" w:rsidRPr="00D66795" w14:paraId="65918FB7" w14:textId="77777777" w:rsidTr="00D66795">
        <w:tc>
          <w:tcPr>
            <w:tcW w:w="2400" w:type="dxa"/>
          </w:tcPr>
          <w:p w14:paraId="6001BABF" w14:textId="77777777" w:rsidR="00EC027C" w:rsidRPr="00D66795" w:rsidRDefault="00000000">
            <w:pPr>
              <w:rPr>
                <w:rFonts w:ascii="Times New Roman" w:hAnsi="Times New Roman" w:cs="Times New Roman"/>
                <w:sz w:val="24"/>
                <w:szCs w:val="24"/>
              </w:rPr>
            </w:pPr>
            <w:proofErr w:type="spellStart"/>
            <w:r w:rsidRPr="00D66795">
              <w:rPr>
                <w:rFonts w:ascii="Times New Roman" w:hAnsi="Times New Roman" w:cs="Times New Roman"/>
                <w:sz w:val="24"/>
                <w:szCs w:val="24"/>
              </w:rPr>
              <w:t>Botala</w:t>
            </w:r>
            <w:proofErr w:type="spellEnd"/>
            <w:r w:rsidRPr="00D66795">
              <w:rPr>
                <w:rFonts w:ascii="Times New Roman" w:hAnsi="Times New Roman" w:cs="Times New Roman"/>
                <w:sz w:val="24"/>
                <w:szCs w:val="24"/>
              </w:rPr>
              <w:t xml:space="preserve"> </w:t>
            </w:r>
            <w:proofErr w:type="spellStart"/>
            <w:r w:rsidRPr="00D66795">
              <w:rPr>
                <w:rFonts w:ascii="Times New Roman" w:hAnsi="Times New Roman" w:cs="Times New Roman"/>
                <w:sz w:val="24"/>
                <w:szCs w:val="24"/>
              </w:rPr>
              <w:t>Serowe</w:t>
            </w:r>
            <w:proofErr w:type="spellEnd"/>
          </w:p>
        </w:tc>
        <w:tc>
          <w:tcPr>
            <w:tcW w:w="1800" w:type="dxa"/>
          </w:tcPr>
          <w:p w14:paraId="3D662B72"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sz w:val="24"/>
                <w:szCs w:val="24"/>
              </w:rPr>
              <w:t>Prospective (best)</w:t>
            </w:r>
          </w:p>
        </w:tc>
        <w:tc>
          <w:tcPr>
            <w:tcW w:w="1285" w:type="dxa"/>
          </w:tcPr>
          <w:p w14:paraId="139D8A23"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sz w:val="24"/>
                <w:szCs w:val="24"/>
              </w:rPr>
              <w:t xml:space="preserve">~7.1 </w:t>
            </w:r>
            <w:proofErr w:type="spellStart"/>
            <w:r w:rsidRPr="00D66795">
              <w:rPr>
                <w:rFonts w:ascii="Times New Roman" w:hAnsi="Times New Roman" w:cs="Times New Roman"/>
                <w:sz w:val="24"/>
                <w:szCs w:val="24"/>
              </w:rPr>
              <w:t>Tcf</w:t>
            </w:r>
            <w:proofErr w:type="spellEnd"/>
          </w:p>
        </w:tc>
        <w:tc>
          <w:tcPr>
            <w:tcW w:w="2160" w:type="dxa"/>
          </w:tcPr>
          <w:p w14:paraId="1DC90C67"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sz w:val="24"/>
                <w:szCs w:val="24"/>
              </w:rPr>
              <w:t>Company / Sproule</w:t>
            </w:r>
          </w:p>
        </w:tc>
        <w:tc>
          <w:tcPr>
            <w:tcW w:w="2435" w:type="dxa"/>
          </w:tcPr>
          <w:p w14:paraId="44ED7AEC" w14:textId="77777777" w:rsidR="00EC027C" w:rsidRPr="00D66795" w:rsidRDefault="00000000">
            <w:pPr>
              <w:rPr>
                <w:rFonts w:ascii="Times New Roman" w:hAnsi="Times New Roman" w:cs="Times New Roman"/>
                <w:sz w:val="24"/>
                <w:szCs w:val="24"/>
              </w:rPr>
            </w:pPr>
            <w:proofErr w:type="spellStart"/>
            <w:r w:rsidRPr="00D66795">
              <w:rPr>
                <w:rFonts w:ascii="Times New Roman" w:hAnsi="Times New Roman" w:cs="Times New Roman"/>
                <w:sz w:val="24"/>
                <w:szCs w:val="24"/>
              </w:rPr>
              <w:t>Unrisked</w:t>
            </w:r>
            <w:proofErr w:type="spellEnd"/>
          </w:p>
        </w:tc>
      </w:tr>
      <w:tr w:rsidR="00D66795" w:rsidRPr="00D66795" w14:paraId="60D57444" w14:textId="77777777" w:rsidTr="00D66795">
        <w:tc>
          <w:tcPr>
            <w:tcW w:w="2400" w:type="dxa"/>
          </w:tcPr>
          <w:p w14:paraId="1C435379"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sz w:val="24"/>
                <w:szCs w:val="24"/>
              </w:rPr>
              <w:t>Tlou Lesedi / related</w:t>
            </w:r>
          </w:p>
        </w:tc>
        <w:tc>
          <w:tcPr>
            <w:tcW w:w="1800" w:type="dxa"/>
          </w:tcPr>
          <w:p w14:paraId="5DE60353"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sz w:val="24"/>
                <w:szCs w:val="24"/>
              </w:rPr>
              <w:t>2P / 3P / 2C</w:t>
            </w:r>
          </w:p>
        </w:tc>
        <w:tc>
          <w:tcPr>
            <w:tcW w:w="1285" w:type="dxa"/>
          </w:tcPr>
          <w:p w14:paraId="5C1A7419"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sz w:val="24"/>
                <w:szCs w:val="24"/>
              </w:rPr>
              <w:t>40.8 / 426.6 / 214 Bcf</w:t>
            </w:r>
          </w:p>
        </w:tc>
        <w:tc>
          <w:tcPr>
            <w:tcW w:w="2160" w:type="dxa"/>
          </w:tcPr>
          <w:p w14:paraId="7DE4C0F7"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sz w:val="24"/>
                <w:szCs w:val="24"/>
              </w:rPr>
              <w:t>Company public figures</w:t>
            </w:r>
          </w:p>
        </w:tc>
        <w:tc>
          <w:tcPr>
            <w:tcW w:w="2435" w:type="dxa"/>
          </w:tcPr>
          <w:p w14:paraId="4BCBB46C"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sz w:val="24"/>
                <w:szCs w:val="24"/>
              </w:rPr>
              <w:t>Certified reserves exist</w:t>
            </w:r>
          </w:p>
        </w:tc>
      </w:tr>
    </w:tbl>
    <w:p w14:paraId="5D3DEBAB" w14:textId="77777777" w:rsidR="00D66795" w:rsidRDefault="00D66795">
      <w:pPr>
        <w:pStyle w:val="Heading1"/>
        <w:rPr>
          <w:rFonts w:ascii="Times New Roman" w:hAnsi="Times New Roman" w:cs="Times New Roman"/>
          <w:color w:val="auto"/>
          <w:sz w:val="24"/>
          <w:szCs w:val="24"/>
        </w:rPr>
      </w:pPr>
    </w:p>
    <w:p w14:paraId="0982ED4D" w14:textId="2B86F163" w:rsidR="00EC027C" w:rsidRPr="00D66795" w:rsidRDefault="00000000">
      <w:pPr>
        <w:pStyle w:val="Heading1"/>
        <w:rPr>
          <w:rFonts w:ascii="Times New Roman" w:hAnsi="Times New Roman" w:cs="Times New Roman"/>
          <w:color w:val="auto"/>
          <w:sz w:val="24"/>
          <w:szCs w:val="24"/>
        </w:rPr>
      </w:pPr>
      <w:r w:rsidRPr="00D66795">
        <w:rPr>
          <w:rFonts w:ascii="Times New Roman" w:hAnsi="Times New Roman" w:cs="Times New Roman"/>
          <w:color w:val="auto"/>
          <w:sz w:val="24"/>
          <w:szCs w:val="24"/>
        </w:rPr>
        <w:lastRenderedPageBreak/>
        <w:t>Evolution of Botswana’s CBM Sector</w:t>
      </w:r>
    </w:p>
    <w:p w14:paraId="7ED64882" w14:textId="77777777" w:rsidR="00EC027C" w:rsidRPr="00D66795" w:rsidRDefault="00000000">
      <w:pPr>
        <w:spacing w:after="120" w:line="276" w:lineRule="auto"/>
        <w:jc w:val="both"/>
        <w:rPr>
          <w:rFonts w:ascii="Times New Roman" w:hAnsi="Times New Roman" w:cs="Times New Roman"/>
          <w:sz w:val="24"/>
          <w:szCs w:val="24"/>
        </w:rPr>
      </w:pPr>
      <w:r w:rsidRPr="00D66795">
        <w:rPr>
          <w:rFonts w:ascii="Times New Roman" w:hAnsi="Times New Roman" w:cs="Times New Roman"/>
          <w:sz w:val="24"/>
          <w:szCs w:val="24"/>
        </w:rPr>
        <w:t>Exploration activity began in the 2000s and early 2010s with multiple junior companies. Early pilot work by Tlou Energy and Kalahari Energy produced limited gas flows and conceptual power-generation schemes. Progress largely stagnated amid low gas prices, infrastructure gaps and financing constraints until the mid-2020s.</w:t>
      </w:r>
    </w:p>
    <w:p w14:paraId="7DA8A380" w14:textId="34E1B367" w:rsidR="00EC027C" w:rsidRPr="00D66795" w:rsidRDefault="00000000">
      <w:pPr>
        <w:spacing w:after="120" w:line="276" w:lineRule="auto"/>
        <w:jc w:val="both"/>
        <w:rPr>
          <w:rFonts w:ascii="Times New Roman" w:hAnsi="Times New Roman" w:cs="Times New Roman"/>
          <w:sz w:val="24"/>
          <w:szCs w:val="24"/>
        </w:rPr>
      </w:pPr>
      <w:r w:rsidRPr="00D66795">
        <w:rPr>
          <w:rFonts w:ascii="Times New Roman" w:hAnsi="Times New Roman" w:cs="Times New Roman"/>
          <w:sz w:val="24"/>
          <w:szCs w:val="24"/>
        </w:rPr>
        <w:t xml:space="preserve">Important turning points include Tlou’s execution of a pilot and subsequent 10 MW PPA with BPC together with grid-connection works; </w:t>
      </w:r>
      <w:proofErr w:type="spellStart"/>
      <w:r w:rsidRPr="00D66795">
        <w:rPr>
          <w:rFonts w:ascii="Times New Roman" w:hAnsi="Times New Roman" w:cs="Times New Roman"/>
          <w:sz w:val="24"/>
          <w:szCs w:val="24"/>
        </w:rPr>
        <w:t>Botala’s</w:t>
      </w:r>
      <w:proofErr w:type="spellEnd"/>
      <w:r w:rsidRPr="00D66795">
        <w:rPr>
          <w:rFonts w:ascii="Times New Roman" w:hAnsi="Times New Roman" w:cs="Times New Roman"/>
          <w:sz w:val="24"/>
          <w:szCs w:val="24"/>
        </w:rPr>
        <w:t xml:space="preserve"> successive resource upgrades, award of a mining </w:t>
      </w:r>
      <w:r w:rsidR="00D66795" w:rsidRPr="00D66795">
        <w:rPr>
          <w:rFonts w:ascii="Times New Roman" w:hAnsi="Times New Roman" w:cs="Times New Roman"/>
          <w:sz w:val="24"/>
          <w:szCs w:val="24"/>
        </w:rPr>
        <w:t>license</w:t>
      </w:r>
      <w:r w:rsidRPr="00D66795">
        <w:rPr>
          <w:rFonts w:ascii="Times New Roman" w:hAnsi="Times New Roman" w:cs="Times New Roman"/>
          <w:sz w:val="24"/>
          <w:szCs w:val="24"/>
        </w:rPr>
        <w:t xml:space="preserve"> in March 2025, environmental approvals, the Scaw Metals offtake letter of intent (March 2025), and MDCB equity discussions in 2025; and the 2024 amendment of the Mines and Minerals Act that explicitly </w:t>
      </w:r>
      <w:r w:rsidR="00D66795">
        <w:rPr>
          <w:rFonts w:ascii="Times New Roman" w:hAnsi="Times New Roman" w:cs="Times New Roman"/>
          <w:sz w:val="24"/>
          <w:szCs w:val="24"/>
        </w:rPr>
        <w:t>recognized</w:t>
      </w:r>
      <w:r w:rsidRPr="00D66795">
        <w:rPr>
          <w:rFonts w:ascii="Times New Roman" w:hAnsi="Times New Roman" w:cs="Times New Roman"/>
          <w:sz w:val="24"/>
          <w:szCs w:val="24"/>
        </w:rPr>
        <w:t xml:space="preserve"> coal-bed methane </w:t>
      </w:r>
      <w:r w:rsidR="00D66795">
        <w:rPr>
          <w:rFonts w:ascii="Times New Roman" w:hAnsi="Times New Roman" w:cs="Times New Roman"/>
          <w:sz w:val="24"/>
          <w:szCs w:val="24"/>
        </w:rPr>
        <w:t>licenses</w:t>
      </w:r>
      <w:r w:rsidRPr="00D66795">
        <w:rPr>
          <w:rFonts w:ascii="Times New Roman" w:hAnsi="Times New Roman" w:cs="Times New Roman"/>
          <w:sz w:val="24"/>
          <w:szCs w:val="24"/>
        </w:rPr>
        <w:t xml:space="preserve"> (Botswana Government, 2024; </w:t>
      </w:r>
      <w:proofErr w:type="spellStart"/>
      <w:r w:rsidRPr="00D66795">
        <w:rPr>
          <w:rFonts w:ascii="Times New Roman" w:hAnsi="Times New Roman" w:cs="Times New Roman"/>
          <w:sz w:val="24"/>
          <w:szCs w:val="24"/>
        </w:rPr>
        <w:t>Botala</w:t>
      </w:r>
      <w:proofErr w:type="spellEnd"/>
      <w:r w:rsidRPr="00D66795">
        <w:rPr>
          <w:rFonts w:ascii="Times New Roman" w:hAnsi="Times New Roman" w:cs="Times New Roman"/>
          <w:sz w:val="24"/>
          <w:szCs w:val="24"/>
        </w:rPr>
        <w:t xml:space="preserve"> Energy, 2025b). The sector has shifted from pure exploration toward pilot production and modular </w:t>
      </w:r>
      <w:r w:rsidR="00D66795" w:rsidRPr="00D66795">
        <w:rPr>
          <w:rFonts w:ascii="Times New Roman" w:hAnsi="Times New Roman" w:cs="Times New Roman"/>
          <w:sz w:val="24"/>
          <w:szCs w:val="24"/>
        </w:rPr>
        <w:t>commercialization</w:t>
      </w:r>
      <w:r w:rsidRPr="00D66795">
        <w:rPr>
          <w:rFonts w:ascii="Times New Roman" w:hAnsi="Times New Roman" w:cs="Times New Roman"/>
          <w:sz w:val="24"/>
          <w:szCs w:val="24"/>
        </w:rPr>
        <w:t xml:space="preserve"> pathways (gas-to-power and mini-LNG).</w:t>
      </w:r>
    </w:p>
    <w:p w14:paraId="49956481" w14:textId="054B8BB3" w:rsidR="00EC027C" w:rsidRPr="00D66795" w:rsidRDefault="00000000">
      <w:pPr>
        <w:pStyle w:val="Heading1"/>
        <w:rPr>
          <w:rFonts w:ascii="Times New Roman" w:hAnsi="Times New Roman" w:cs="Times New Roman"/>
          <w:color w:val="auto"/>
          <w:sz w:val="24"/>
          <w:szCs w:val="24"/>
        </w:rPr>
      </w:pPr>
      <w:r w:rsidRPr="00D66795">
        <w:rPr>
          <w:rFonts w:ascii="Times New Roman" w:hAnsi="Times New Roman" w:cs="Times New Roman"/>
          <w:color w:val="auto"/>
          <w:sz w:val="24"/>
          <w:szCs w:val="24"/>
        </w:rPr>
        <w:t>Current Investment Landscape</w:t>
      </w:r>
    </w:p>
    <w:p w14:paraId="033D7E36" w14:textId="3DE30678" w:rsidR="00EC027C" w:rsidRPr="00D66795" w:rsidRDefault="00000000">
      <w:pPr>
        <w:spacing w:after="120" w:line="276" w:lineRule="auto"/>
        <w:jc w:val="both"/>
        <w:rPr>
          <w:rFonts w:ascii="Times New Roman" w:hAnsi="Times New Roman" w:cs="Times New Roman"/>
          <w:sz w:val="24"/>
          <w:szCs w:val="24"/>
        </w:rPr>
      </w:pPr>
      <w:r w:rsidRPr="00D66795">
        <w:rPr>
          <w:rFonts w:ascii="Times New Roman" w:hAnsi="Times New Roman" w:cs="Times New Roman"/>
          <w:sz w:val="24"/>
          <w:szCs w:val="24"/>
        </w:rPr>
        <w:t xml:space="preserve">Investment activity is concentrated in two Australian-listed juniors with Botswana subsidiaries, supplemented by state participation via MDCB. </w:t>
      </w:r>
      <w:proofErr w:type="spellStart"/>
      <w:r w:rsidRPr="00D66795">
        <w:rPr>
          <w:rFonts w:ascii="Times New Roman" w:hAnsi="Times New Roman" w:cs="Times New Roman"/>
          <w:sz w:val="24"/>
          <w:szCs w:val="24"/>
        </w:rPr>
        <w:t>Botala</w:t>
      </w:r>
      <w:proofErr w:type="spellEnd"/>
      <w:r w:rsidRPr="00D66795">
        <w:rPr>
          <w:rFonts w:ascii="Times New Roman" w:hAnsi="Times New Roman" w:cs="Times New Roman"/>
          <w:sz w:val="24"/>
          <w:szCs w:val="24"/>
        </w:rPr>
        <w:t xml:space="preserve"> has attracted the clearest recent capital commitment in the form of the non-binding MDCB term sheet for approximately A$4 million of project-level equity plus a royalty (</w:t>
      </w:r>
      <w:proofErr w:type="spellStart"/>
      <w:r w:rsidRPr="00D66795">
        <w:rPr>
          <w:rFonts w:ascii="Times New Roman" w:hAnsi="Times New Roman" w:cs="Times New Roman"/>
          <w:sz w:val="24"/>
          <w:szCs w:val="24"/>
        </w:rPr>
        <w:t>Botala</w:t>
      </w:r>
      <w:proofErr w:type="spellEnd"/>
      <w:r w:rsidRPr="00D66795">
        <w:rPr>
          <w:rFonts w:ascii="Times New Roman" w:hAnsi="Times New Roman" w:cs="Times New Roman"/>
          <w:sz w:val="24"/>
          <w:szCs w:val="24"/>
        </w:rPr>
        <w:t xml:space="preserve"> Energy, 2025a). Private equity and strategic </w:t>
      </w:r>
      <w:r w:rsidR="00D66795" w:rsidRPr="00D66795">
        <w:rPr>
          <w:rFonts w:ascii="Times New Roman" w:hAnsi="Times New Roman" w:cs="Times New Roman"/>
          <w:sz w:val="24"/>
          <w:szCs w:val="24"/>
        </w:rPr>
        <w:t>off taker</w:t>
      </w:r>
      <w:r w:rsidRPr="00D66795">
        <w:rPr>
          <w:rFonts w:ascii="Times New Roman" w:hAnsi="Times New Roman" w:cs="Times New Roman"/>
          <w:sz w:val="24"/>
          <w:szCs w:val="24"/>
        </w:rPr>
        <w:t xml:space="preserve"> interest is emerging around modular LNG. Total committed capital remains modest relative to full-field development requirements; most expenditure to date has been directed at exploration, appraisal and pilot drilling, funded by equity raises and proposed government co-investment.</w:t>
      </w:r>
    </w:p>
    <w:p w14:paraId="691F8CD2" w14:textId="1A2BA9DA" w:rsidR="00EC027C" w:rsidRPr="00D66795" w:rsidRDefault="00000000">
      <w:pPr>
        <w:pStyle w:val="Heading1"/>
        <w:rPr>
          <w:rFonts w:ascii="Times New Roman" w:hAnsi="Times New Roman" w:cs="Times New Roman"/>
          <w:color w:val="auto"/>
          <w:sz w:val="24"/>
          <w:szCs w:val="24"/>
        </w:rPr>
      </w:pPr>
      <w:r w:rsidRPr="00D66795">
        <w:rPr>
          <w:rFonts w:ascii="Times New Roman" w:hAnsi="Times New Roman" w:cs="Times New Roman"/>
          <w:color w:val="auto"/>
          <w:sz w:val="24"/>
          <w:szCs w:val="24"/>
        </w:rPr>
        <w:t>Major CBM Projects and Project Pipeline</w:t>
      </w:r>
    </w:p>
    <w:p w14:paraId="7A6A3EC3" w14:textId="51AC4F22" w:rsidR="00EC027C" w:rsidRPr="00D66795" w:rsidRDefault="00000000">
      <w:pPr>
        <w:pStyle w:val="Heading2"/>
        <w:rPr>
          <w:rFonts w:ascii="Times New Roman" w:hAnsi="Times New Roman" w:cs="Times New Roman"/>
          <w:color w:val="auto"/>
        </w:rPr>
      </w:pPr>
      <w:proofErr w:type="spellStart"/>
      <w:r w:rsidRPr="00D66795">
        <w:rPr>
          <w:rFonts w:ascii="Times New Roman" w:hAnsi="Times New Roman" w:cs="Times New Roman"/>
          <w:color w:val="auto"/>
        </w:rPr>
        <w:t>Serowe</w:t>
      </w:r>
      <w:proofErr w:type="spellEnd"/>
      <w:r w:rsidRPr="00D66795">
        <w:rPr>
          <w:rFonts w:ascii="Times New Roman" w:hAnsi="Times New Roman" w:cs="Times New Roman"/>
          <w:color w:val="auto"/>
        </w:rPr>
        <w:t xml:space="preserve"> CBM Project (</w:t>
      </w:r>
      <w:proofErr w:type="spellStart"/>
      <w:r w:rsidRPr="00D66795">
        <w:rPr>
          <w:rFonts w:ascii="Times New Roman" w:hAnsi="Times New Roman" w:cs="Times New Roman"/>
          <w:color w:val="auto"/>
        </w:rPr>
        <w:t>Botala</w:t>
      </w:r>
      <w:proofErr w:type="spellEnd"/>
      <w:r w:rsidRPr="00D66795">
        <w:rPr>
          <w:rFonts w:ascii="Times New Roman" w:hAnsi="Times New Roman" w:cs="Times New Roman"/>
          <w:color w:val="auto"/>
        </w:rPr>
        <w:t xml:space="preserve"> Energy)</w:t>
      </w:r>
    </w:p>
    <w:p w14:paraId="58F6B3F4" w14:textId="77777777" w:rsidR="00EC027C" w:rsidRPr="00D66795" w:rsidRDefault="00000000">
      <w:pPr>
        <w:spacing w:after="120" w:line="276" w:lineRule="auto"/>
        <w:jc w:val="both"/>
        <w:rPr>
          <w:rFonts w:ascii="Times New Roman" w:hAnsi="Times New Roman" w:cs="Times New Roman"/>
          <w:sz w:val="24"/>
          <w:szCs w:val="24"/>
        </w:rPr>
      </w:pPr>
      <w:r w:rsidRPr="00D66795">
        <w:rPr>
          <w:rFonts w:ascii="Times New Roman" w:hAnsi="Times New Roman" w:cs="Times New Roman"/>
          <w:sz w:val="24"/>
          <w:szCs w:val="24"/>
        </w:rPr>
        <w:t>Location: Central Botswana (</w:t>
      </w:r>
      <w:proofErr w:type="spellStart"/>
      <w:r w:rsidRPr="00D66795">
        <w:rPr>
          <w:rFonts w:ascii="Times New Roman" w:hAnsi="Times New Roman" w:cs="Times New Roman"/>
          <w:sz w:val="24"/>
          <w:szCs w:val="24"/>
        </w:rPr>
        <w:t>Serowe</w:t>
      </w:r>
      <w:proofErr w:type="spellEnd"/>
      <w:r w:rsidRPr="00D66795">
        <w:rPr>
          <w:rFonts w:ascii="Times New Roman" w:hAnsi="Times New Roman" w:cs="Times New Roman"/>
          <w:sz w:val="24"/>
          <w:szCs w:val="24"/>
        </w:rPr>
        <w:t xml:space="preserve"> area). </w:t>
      </w:r>
      <w:proofErr w:type="spellStart"/>
      <w:r w:rsidRPr="00D66795">
        <w:rPr>
          <w:rFonts w:ascii="Times New Roman" w:hAnsi="Times New Roman" w:cs="Times New Roman"/>
          <w:sz w:val="24"/>
          <w:szCs w:val="24"/>
        </w:rPr>
        <w:t>Licence</w:t>
      </w:r>
      <w:proofErr w:type="spellEnd"/>
      <w:r w:rsidRPr="00D66795">
        <w:rPr>
          <w:rFonts w:ascii="Times New Roman" w:hAnsi="Times New Roman" w:cs="Times New Roman"/>
          <w:sz w:val="24"/>
          <w:szCs w:val="24"/>
        </w:rPr>
        <w:t xml:space="preserve">: Mining </w:t>
      </w:r>
      <w:proofErr w:type="spellStart"/>
      <w:r w:rsidRPr="00D66795">
        <w:rPr>
          <w:rFonts w:ascii="Times New Roman" w:hAnsi="Times New Roman" w:cs="Times New Roman"/>
          <w:sz w:val="24"/>
          <w:szCs w:val="24"/>
        </w:rPr>
        <w:t>Licence</w:t>
      </w:r>
      <w:proofErr w:type="spellEnd"/>
      <w:r w:rsidRPr="00D66795">
        <w:rPr>
          <w:rFonts w:ascii="Times New Roman" w:hAnsi="Times New Roman" w:cs="Times New Roman"/>
          <w:sz w:val="24"/>
          <w:szCs w:val="24"/>
        </w:rPr>
        <w:t xml:space="preserve"> ML-52 awarded March 2025, together with additional prospecting </w:t>
      </w:r>
      <w:proofErr w:type="spellStart"/>
      <w:r w:rsidRPr="00D66795">
        <w:rPr>
          <w:rFonts w:ascii="Times New Roman" w:hAnsi="Times New Roman" w:cs="Times New Roman"/>
          <w:sz w:val="24"/>
          <w:szCs w:val="24"/>
        </w:rPr>
        <w:t>licences</w:t>
      </w:r>
      <w:proofErr w:type="spellEnd"/>
      <w:r w:rsidRPr="00D66795">
        <w:rPr>
          <w:rFonts w:ascii="Times New Roman" w:hAnsi="Times New Roman" w:cs="Times New Roman"/>
          <w:sz w:val="24"/>
          <w:szCs w:val="24"/>
        </w:rPr>
        <w:t xml:space="preserve">. Operator/ownership: </w:t>
      </w:r>
      <w:proofErr w:type="spellStart"/>
      <w:r w:rsidRPr="00D66795">
        <w:rPr>
          <w:rFonts w:ascii="Times New Roman" w:hAnsi="Times New Roman" w:cs="Times New Roman"/>
          <w:sz w:val="24"/>
          <w:szCs w:val="24"/>
        </w:rPr>
        <w:t>Botala</w:t>
      </w:r>
      <w:proofErr w:type="spellEnd"/>
      <w:r w:rsidRPr="00D66795">
        <w:rPr>
          <w:rFonts w:ascii="Times New Roman" w:hAnsi="Times New Roman" w:cs="Times New Roman"/>
          <w:sz w:val="24"/>
          <w:szCs w:val="24"/>
        </w:rPr>
        <w:t xml:space="preserve"> Gas (Pty) Ltd (100% </w:t>
      </w:r>
      <w:proofErr w:type="spellStart"/>
      <w:r w:rsidRPr="00D66795">
        <w:rPr>
          <w:rFonts w:ascii="Times New Roman" w:hAnsi="Times New Roman" w:cs="Times New Roman"/>
          <w:sz w:val="24"/>
          <w:szCs w:val="24"/>
        </w:rPr>
        <w:t>Botala</w:t>
      </w:r>
      <w:proofErr w:type="spellEnd"/>
      <w:r w:rsidRPr="00D66795">
        <w:rPr>
          <w:rFonts w:ascii="Times New Roman" w:hAnsi="Times New Roman" w:cs="Times New Roman"/>
          <w:sz w:val="24"/>
          <w:szCs w:val="24"/>
        </w:rPr>
        <w:t xml:space="preserve"> Energy prior to MDCB close); non-binding term sheet for MDCB 15% equity plus 1% LNG royalty. Resources: 2C 454 Bcf; prospective ≈ 7.1 </w:t>
      </w:r>
      <w:proofErr w:type="spellStart"/>
      <w:r w:rsidRPr="00D66795">
        <w:rPr>
          <w:rFonts w:ascii="Times New Roman" w:hAnsi="Times New Roman" w:cs="Times New Roman"/>
          <w:sz w:val="24"/>
          <w:szCs w:val="24"/>
        </w:rPr>
        <w:t>Tcf</w:t>
      </w:r>
      <w:proofErr w:type="spellEnd"/>
      <w:r w:rsidRPr="00D66795">
        <w:rPr>
          <w:rFonts w:ascii="Times New Roman" w:hAnsi="Times New Roman" w:cs="Times New Roman"/>
          <w:sz w:val="24"/>
          <w:szCs w:val="24"/>
        </w:rPr>
        <w:t xml:space="preserve"> (best estimate).</w:t>
      </w:r>
    </w:p>
    <w:p w14:paraId="0B626DE3" w14:textId="77777777" w:rsidR="00EC027C" w:rsidRPr="00D66795" w:rsidRDefault="00000000">
      <w:pPr>
        <w:spacing w:before="120" w:after="60"/>
        <w:jc w:val="center"/>
        <w:rPr>
          <w:rFonts w:ascii="Times New Roman" w:hAnsi="Times New Roman" w:cs="Times New Roman"/>
          <w:sz w:val="24"/>
          <w:szCs w:val="24"/>
        </w:rPr>
      </w:pPr>
      <w:r w:rsidRPr="00D66795">
        <w:rPr>
          <w:rFonts w:ascii="Times New Roman" w:hAnsi="Times New Roman" w:cs="Times New Roman"/>
          <w:noProof/>
          <w:sz w:val="24"/>
          <w:szCs w:val="24"/>
        </w:rPr>
        <w:drawing>
          <wp:inline distT="0" distB="0" distL="0" distR="0" wp14:anchorId="1F830B56" wp14:editId="15B0CE83">
            <wp:extent cx="4762500" cy="1295400"/>
            <wp:effectExtent l="0" t="0" r="0" b="0"/>
            <wp:docPr id="1597562613" name="Serowe status pipeline" descr="Serowe status pipeline" title="Serowe status pip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8"/>
                    <a:srcRect t="9333"/>
                    <a:stretch>
                      <a:fillRect/>
                    </a:stretch>
                  </pic:blipFill>
                  <pic:spPr bwMode="auto">
                    <a:xfrm>
                      <a:off x="0" y="0"/>
                      <a:ext cx="4762500" cy="1295400"/>
                    </a:xfrm>
                    <a:prstGeom prst="rect">
                      <a:avLst/>
                    </a:prstGeom>
                    <a:ln>
                      <a:noFill/>
                    </a:ln>
                    <a:extLst>
                      <a:ext uri="{53640926-AAD7-44D8-BBD7-CCE9431645EC}">
                        <a14:shadowObscured xmlns:a14="http://schemas.microsoft.com/office/drawing/2010/main"/>
                      </a:ext>
                    </a:extLst>
                  </pic:spPr>
                </pic:pic>
              </a:graphicData>
            </a:graphic>
          </wp:inline>
        </w:drawing>
      </w:r>
    </w:p>
    <w:p w14:paraId="5A1E5390" w14:textId="77777777" w:rsidR="00EC027C" w:rsidRPr="00D66795" w:rsidRDefault="00000000">
      <w:pPr>
        <w:spacing w:before="60" w:after="200"/>
        <w:jc w:val="center"/>
        <w:rPr>
          <w:rFonts w:ascii="Times New Roman" w:hAnsi="Times New Roman" w:cs="Times New Roman"/>
          <w:sz w:val="24"/>
          <w:szCs w:val="24"/>
        </w:rPr>
      </w:pPr>
      <w:r w:rsidRPr="00D66795">
        <w:rPr>
          <w:rFonts w:ascii="Times New Roman" w:hAnsi="Times New Roman" w:cs="Times New Roman"/>
          <w:sz w:val="24"/>
          <w:szCs w:val="24"/>
        </w:rPr>
        <w:t xml:space="preserve">Figure 2. </w:t>
      </w:r>
      <w:proofErr w:type="spellStart"/>
      <w:r w:rsidRPr="00D66795">
        <w:rPr>
          <w:rFonts w:ascii="Times New Roman" w:hAnsi="Times New Roman" w:cs="Times New Roman"/>
          <w:sz w:val="24"/>
          <w:szCs w:val="24"/>
        </w:rPr>
        <w:t>Serowe</w:t>
      </w:r>
      <w:proofErr w:type="spellEnd"/>
      <w:r w:rsidRPr="00D66795">
        <w:rPr>
          <w:rFonts w:ascii="Times New Roman" w:hAnsi="Times New Roman" w:cs="Times New Roman"/>
          <w:sz w:val="24"/>
          <w:szCs w:val="24"/>
        </w:rPr>
        <w:t xml:space="preserve"> project development stage as of September 2026.</w:t>
      </w:r>
    </w:p>
    <w:p w14:paraId="58789AB2" w14:textId="77777777" w:rsidR="00EC027C" w:rsidRPr="00D66795" w:rsidRDefault="00000000">
      <w:pPr>
        <w:spacing w:after="120" w:line="276" w:lineRule="auto"/>
        <w:jc w:val="both"/>
        <w:rPr>
          <w:rFonts w:ascii="Times New Roman" w:hAnsi="Times New Roman" w:cs="Times New Roman"/>
          <w:sz w:val="24"/>
          <w:szCs w:val="24"/>
        </w:rPr>
      </w:pPr>
      <w:r w:rsidRPr="00D66795">
        <w:rPr>
          <w:rFonts w:ascii="Times New Roman" w:hAnsi="Times New Roman" w:cs="Times New Roman"/>
          <w:sz w:val="24"/>
          <w:szCs w:val="24"/>
        </w:rPr>
        <w:lastRenderedPageBreak/>
        <w:t xml:space="preserve">Status (September 2026): The </w:t>
      </w:r>
      <w:proofErr w:type="spellStart"/>
      <w:r w:rsidRPr="00D66795">
        <w:rPr>
          <w:rFonts w:ascii="Times New Roman" w:hAnsi="Times New Roman" w:cs="Times New Roman"/>
          <w:sz w:val="24"/>
          <w:szCs w:val="24"/>
        </w:rPr>
        <w:t>Pitse</w:t>
      </w:r>
      <w:proofErr w:type="spellEnd"/>
      <w:r w:rsidRPr="00D66795">
        <w:rPr>
          <w:rFonts w:ascii="Times New Roman" w:hAnsi="Times New Roman" w:cs="Times New Roman"/>
          <w:sz w:val="24"/>
          <w:szCs w:val="24"/>
        </w:rPr>
        <w:t xml:space="preserve"> Pilot central production well Serowe-3.5B achieved continuous and steadily increasing gas flow, with the first continuous flare recorded on 20–21 September 2026 while the water level remained approximately 60 m above the coal seam—earlier than the company’s prior expectation (</w:t>
      </w:r>
      <w:proofErr w:type="spellStart"/>
      <w:r w:rsidRPr="00D66795">
        <w:rPr>
          <w:rFonts w:ascii="Times New Roman" w:hAnsi="Times New Roman" w:cs="Times New Roman"/>
          <w:sz w:val="24"/>
          <w:szCs w:val="24"/>
        </w:rPr>
        <w:t>Botala</w:t>
      </w:r>
      <w:proofErr w:type="spellEnd"/>
      <w:r w:rsidRPr="00D66795">
        <w:rPr>
          <w:rFonts w:ascii="Times New Roman" w:hAnsi="Times New Roman" w:cs="Times New Roman"/>
          <w:sz w:val="24"/>
          <w:szCs w:val="24"/>
        </w:rPr>
        <w:t xml:space="preserve"> Energy, 2026a). The project is </w:t>
      </w:r>
      <w:proofErr w:type="spellStart"/>
      <w:r w:rsidRPr="00D66795">
        <w:rPr>
          <w:rFonts w:ascii="Times New Roman" w:hAnsi="Times New Roman" w:cs="Times New Roman"/>
          <w:sz w:val="24"/>
          <w:szCs w:val="24"/>
        </w:rPr>
        <w:t>categorised</w:t>
      </w:r>
      <w:proofErr w:type="spellEnd"/>
      <w:r w:rsidRPr="00D66795">
        <w:rPr>
          <w:rFonts w:ascii="Times New Roman" w:hAnsi="Times New Roman" w:cs="Times New Roman"/>
          <w:sz w:val="24"/>
          <w:szCs w:val="24"/>
        </w:rPr>
        <w:t xml:space="preserve"> as pilot / pre-FID development. Planned capacity is phased: initial mini-LNG (Galileo-type units) targeting 3.5 PJ/year from approximately 108 wells at full scale. Offtake: binding letter of intent with Scaw Metals for up to 3.5 PJ/year LNG (option to 4.7 PJ); first supply targeted 2027–2028. Additional industrial interest has been reported (e.g., discussions linked to </w:t>
      </w:r>
      <w:proofErr w:type="spellStart"/>
      <w:r w:rsidRPr="00D66795">
        <w:rPr>
          <w:rFonts w:ascii="Times New Roman" w:hAnsi="Times New Roman" w:cs="Times New Roman"/>
          <w:sz w:val="24"/>
          <w:szCs w:val="24"/>
        </w:rPr>
        <w:t>Kemcore</w:t>
      </w:r>
      <w:proofErr w:type="spellEnd"/>
      <w:r w:rsidRPr="00D66795">
        <w:rPr>
          <w:rFonts w:ascii="Times New Roman" w:hAnsi="Times New Roman" w:cs="Times New Roman"/>
          <w:sz w:val="24"/>
          <w:szCs w:val="24"/>
        </w:rPr>
        <w:t>). Investment: government ≈ BWP 35 million proposed; full development capital is multi-tens of millions of US dollars on a phased basis. FID is targeted for H2 2026 (</w:t>
      </w:r>
      <w:proofErr w:type="spellStart"/>
      <w:r w:rsidRPr="00D66795">
        <w:rPr>
          <w:rFonts w:ascii="Times New Roman" w:hAnsi="Times New Roman" w:cs="Times New Roman"/>
          <w:sz w:val="24"/>
          <w:szCs w:val="24"/>
        </w:rPr>
        <w:t>Botala</w:t>
      </w:r>
      <w:proofErr w:type="spellEnd"/>
      <w:r w:rsidRPr="00D66795">
        <w:rPr>
          <w:rFonts w:ascii="Times New Roman" w:hAnsi="Times New Roman" w:cs="Times New Roman"/>
          <w:sz w:val="24"/>
          <w:szCs w:val="24"/>
        </w:rPr>
        <w:t xml:space="preserve"> Energy, 2025a; Energies Media, 2026).</w:t>
      </w:r>
    </w:p>
    <w:p w14:paraId="25D38146" w14:textId="77777777" w:rsidR="00EC027C" w:rsidRPr="00D66795" w:rsidRDefault="00000000">
      <w:pPr>
        <w:spacing w:before="120" w:after="60"/>
        <w:jc w:val="center"/>
        <w:rPr>
          <w:rFonts w:ascii="Times New Roman" w:hAnsi="Times New Roman" w:cs="Times New Roman"/>
          <w:sz w:val="24"/>
          <w:szCs w:val="24"/>
        </w:rPr>
      </w:pPr>
      <w:r w:rsidRPr="00D66795">
        <w:rPr>
          <w:rFonts w:ascii="Times New Roman" w:hAnsi="Times New Roman" w:cs="Times New Roman"/>
          <w:noProof/>
          <w:sz w:val="24"/>
          <w:szCs w:val="24"/>
        </w:rPr>
        <w:drawing>
          <wp:inline distT="0" distB="0" distL="0" distR="0" wp14:anchorId="7632920A" wp14:editId="26A176F7">
            <wp:extent cx="4572000" cy="2428875"/>
            <wp:effectExtent l="0" t="0" r="0" b="9525"/>
            <wp:docPr id="1188602932" name="Serowe phases" descr="Serowe phases" title="Serowe ph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9"/>
                    <a:srcRect t="5555"/>
                    <a:stretch>
                      <a:fillRect/>
                    </a:stretch>
                  </pic:blipFill>
                  <pic:spPr bwMode="auto">
                    <a:xfrm>
                      <a:off x="0" y="0"/>
                      <a:ext cx="4572000" cy="2428875"/>
                    </a:xfrm>
                    <a:prstGeom prst="rect">
                      <a:avLst/>
                    </a:prstGeom>
                    <a:ln>
                      <a:noFill/>
                    </a:ln>
                    <a:extLst>
                      <a:ext uri="{53640926-AAD7-44D8-BBD7-CCE9431645EC}">
                        <a14:shadowObscured xmlns:a14="http://schemas.microsoft.com/office/drawing/2010/main"/>
                      </a:ext>
                    </a:extLst>
                  </pic:spPr>
                </pic:pic>
              </a:graphicData>
            </a:graphic>
          </wp:inline>
        </w:drawing>
      </w:r>
    </w:p>
    <w:p w14:paraId="3E130F68" w14:textId="77777777" w:rsidR="00EC027C" w:rsidRPr="00D66795" w:rsidRDefault="00000000">
      <w:pPr>
        <w:spacing w:before="60" w:after="200"/>
        <w:jc w:val="center"/>
        <w:rPr>
          <w:rFonts w:ascii="Times New Roman" w:hAnsi="Times New Roman" w:cs="Times New Roman"/>
          <w:sz w:val="24"/>
          <w:szCs w:val="24"/>
        </w:rPr>
      </w:pPr>
      <w:r w:rsidRPr="00D66795">
        <w:rPr>
          <w:rFonts w:ascii="Times New Roman" w:hAnsi="Times New Roman" w:cs="Times New Roman"/>
          <w:sz w:val="24"/>
          <w:szCs w:val="24"/>
        </w:rPr>
        <w:t xml:space="preserve">Figure 3. </w:t>
      </w:r>
      <w:proofErr w:type="spellStart"/>
      <w:r w:rsidRPr="00D66795">
        <w:rPr>
          <w:rFonts w:ascii="Times New Roman" w:hAnsi="Times New Roman" w:cs="Times New Roman"/>
          <w:sz w:val="24"/>
          <w:szCs w:val="24"/>
        </w:rPr>
        <w:t>Serowe</w:t>
      </w:r>
      <w:proofErr w:type="spellEnd"/>
      <w:r w:rsidRPr="00D66795">
        <w:rPr>
          <w:rFonts w:ascii="Times New Roman" w:hAnsi="Times New Roman" w:cs="Times New Roman"/>
          <w:sz w:val="24"/>
          <w:szCs w:val="24"/>
        </w:rPr>
        <w:t xml:space="preserve"> CBM project phased development targets (wells and indicative PJ/year).</w:t>
      </w:r>
    </w:p>
    <w:p w14:paraId="7C42CC5D" w14:textId="77777777" w:rsidR="00EC027C" w:rsidRPr="00D66795" w:rsidRDefault="00000000">
      <w:pPr>
        <w:spacing w:before="120" w:after="60"/>
        <w:jc w:val="center"/>
        <w:rPr>
          <w:rFonts w:ascii="Times New Roman" w:hAnsi="Times New Roman" w:cs="Times New Roman"/>
          <w:sz w:val="24"/>
          <w:szCs w:val="24"/>
        </w:rPr>
      </w:pPr>
      <w:r w:rsidRPr="00D66795">
        <w:rPr>
          <w:rFonts w:ascii="Times New Roman" w:hAnsi="Times New Roman" w:cs="Times New Roman"/>
          <w:noProof/>
          <w:sz w:val="24"/>
          <w:szCs w:val="24"/>
        </w:rPr>
        <w:drawing>
          <wp:inline distT="0" distB="0" distL="0" distR="0" wp14:anchorId="2922A483" wp14:editId="75ACA4D0">
            <wp:extent cx="4953000" cy="1676400"/>
            <wp:effectExtent l="0" t="0" r="0" b="0"/>
            <wp:docPr id="248025415" name="Serowe timeline" descr="Serowe timeline" title="Serowe tim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0"/>
                    <a:srcRect t="7368"/>
                    <a:stretch>
                      <a:fillRect/>
                    </a:stretch>
                  </pic:blipFill>
                  <pic:spPr bwMode="auto">
                    <a:xfrm>
                      <a:off x="0" y="0"/>
                      <a:ext cx="4953000" cy="1676400"/>
                    </a:xfrm>
                    <a:prstGeom prst="rect">
                      <a:avLst/>
                    </a:prstGeom>
                    <a:ln>
                      <a:noFill/>
                    </a:ln>
                    <a:extLst>
                      <a:ext uri="{53640926-AAD7-44D8-BBD7-CCE9431645EC}">
                        <a14:shadowObscured xmlns:a14="http://schemas.microsoft.com/office/drawing/2010/main"/>
                      </a:ext>
                    </a:extLst>
                  </pic:spPr>
                </pic:pic>
              </a:graphicData>
            </a:graphic>
          </wp:inline>
        </w:drawing>
      </w:r>
    </w:p>
    <w:p w14:paraId="29A705D8" w14:textId="77777777" w:rsidR="00EC027C" w:rsidRPr="00D66795" w:rsidRDefault="00000000">
      <w:pPr>
        <w:spacing w:before="60" w:after="200"/>
        <w:jc w:val="center"/>
        <w:rPr>
          <w:rFonts w:ascii="Times New Roman" w:hAnsi="Times New Roman" w:cs="Times New Roman"/>
          <w:sz w:val="24"/>
          <w:szCs w:val="24"/>
        </w:rPr>
      </w:pPr>
      <w:r w:rsidRPr="00D66795">
        <w:rPr>
          <w:rFonts w:ascii="Times New Roman" w:hAnsi="Times New Roman" w:cs="Times New Roman"/>
          <w:sz w:val="24"/>
          <w:szCs w:val="24"/>
        </w:rPr>
        <w:t xml:space="preserve">Figure 4. Selected </w:t>
      </w:r>
      <w:proofErr w:type="spellStart"/>
      <w:r w:rsidRPr="00D66795">
        <w:rPr>
          <w:rFonts w:ascii="Times New Roman" w:hAnsi="Times New Roman" w:cs="Times New Roman"/>
          <w:sz w:val="24"/>
          <w:szCs w:val="24"/>
        </w:rPr>
        <w:t>Serowe</w:t>
      </w:r>
      <w:proofErr w:type="spellEnd"/>
      <w:r w:rsidRPr="00D66795">
        <w:rPr>
          <w:rFonts w:ascii="Times New Roman" w:hAnsi="Times New Roman" w:cs="Times New Roman"/>
          <w:sz w:val="24"/>
          <w:szCs w:val="24"/>
        </w:rPr>
        <w:t xml:space="preserve"> CBM project milestones timeline.</w:t>
      </w:r>
    </w:p>
    <w:p w14:paraId="07980544" w14:textId="77777777" w:rsidR="00EC027C" w:rsidRPr="00D66795" w:rsidRDefault="00000000">
      <w:pPr>
        <w:spacing w:before="120" w:after="60"/>
        <w:jc w:val="center"/>
        <w:rPr>
          <w:rFonts w:ascii="Times New Roman" w:hAnsi="Times New Roman" w:cs="Times New Roman"/>
          <w:sz w:val="24"/>
          <w:szCs w:val="24"/>
        </w:rPr>
      </w:pPr>
      <w:r w:rsidRPr="00D66795">
        <w:rPr>
          <w:rFonts w:ascii="Times New Roman" w:hAnsi="Times New Roman" w:cs="Times New Roman"/>
          <w:noProof/>
          <w:sz w:val="24"/>
          <w:szCs w:val="24"/>
        </w:rPr>
        <w:lastRenderedPageBreak/>
        <w:drawing>
          <wp:inline distT="0" distB="0" distL="0" distR="0" wp14:anchorId="7F25D229" wp14:editId="3BBA70A9">
            <wp:extent cx="3619500" cy="2286000"/>
            <wp:effectExtent l="0" t="0" r="0" b="0"/>
            <wp:docPr id="1043696969" name="Ownership pie" descr="Ownership pie" title="Ownership 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1"/>
                    <a:srcRect t="11111"/>
                    <a:stretch>
                      <a:fillRect/>
                    </a:stretch>
                  </pic:blipFill>
                  <pic:spPr bwMode="auto">
                    <a:xfrm>
                      <a:off x="0" y="0"/>
                      <a:ext cx="3619500" cy="2286000"/>
                    </a:xfrm>
                    <a:prstGeom prst="rect">
                      <a:avLst/>
                    </a:prstGeom>
                    <a:ln>
                      <a:noFill/>
                    </a:ln>
                    <a:extLst>
                      <a:ext uri="{53640926-AAD7-44D8-BBD7-CCE9431645EC}">
                        <a14:shadowObscured xmlns:a14="http://schemas.microsoft.com/office/drawing/2010/main"/>
                      </a:ext>
                    </a:extLst>
                  </pic:spPr>
                </pic:pic>
              </a:graphicData>
            </a:graphic>
          </wp:inline>
        </w:drawing>
      </w:r>
    </w:p>
    <w:p w14:paraId="6E0EB45A" w14:textId="77777777" w:rsidR="00EC027C" w:rsidRPr="00D66795" w:rsidRDefault="00000000">
      <w:pPr>
        <w:spacing w:before="60" w:after="200"/>
        <w:jc w:val="center"/>
        <w:rPr>
          <w:rFonts w:ascii="Times New Roman" w:hAnsi="Times New Roman" w:cs="Times New Roman"/>
          <w:sz w:val="24"/>
          <w:szCs w:val="24"/>
        </w:rPr>
      </w:pPr>
      <w:r w:rsidRPr="00D66795">
        <w:rPr>
          <w:rFonts w:ascii="Times New Roman" w:hAnsi="Times New Roman" w:cs="Times New Roman"/>
          <w:sz w:val="24"/>
          <w:szCs w:val="24"/>
        </w:rPr>
        <w:t xml:space="preserve">Figure 5. Proposed </w:t>
      </w:r>
      <w:proofErr w:type="spellStart"/>
      <w:r w:rsidRPr="00D66795">
        <w:rPr>
          <w:rFonts w:ascii="Times New Roman" w:hAnsi="Times New Roman" w:cs="Times New Roman"/>
          <w:sz w:val="24"/>
          <w:szCs w:val="24"/>
        </w:rPr>
        <w:t>Serowe</w:t>
      </w:r>
      <w:proofErr w:type="spellEnd"/>
      <w:r w:rsidRPr="00D66795">
        <w:rPr>
          <w:rFonts w:ascii="Times New Roman" w:hAnsi="Times New Roman" w:cs="Times New Roman"/>
          <w:sz w:val="24"/>
          <w:szCs w:val="24"/>
        </w:rPr>
        <w:t xml:space="preserve"> project ownership following MDCB close (non-binding term sheet).</w:t>
      </w:r>
    </w:p>
    <w:p w14:paraId="4529D8CE" w14:textId="7A80DDFB" w:rsidR="00EC027C" w:rsidRPr="00D66795" w:rsidRDefault="00000000">
      <w:pPr>
        <w:pStyle w:val="Heading2"/>
        <w:rPr>
          <w:rFonts w:ascii="Times New Roman" w:hAnsi="Times New Roman" w:cs="Times New Roman"/>
          <w:color w:val="auto"/>
        </w:rPr>
      </w:pPr>
      <w:r w:rsidRPr="00D66795">
        <w:rPr>
          <w:rFonts w:ascii="Times New Roman" w:hAnsi="Times New Roman" w:cs="Times New Roman"/>
          <w:color w:val="auto"/>
        </w:rPr>
        <w:t>Lesedi Power Project (Tlou Energy)</w:t>
      </w:r>
    </w:p>
    <w:p w14:paraId="716F3744" w14:textId="77777777" w:rsidR="00EC027C" w:rsidRPr="00D66795" w:rsidRDefault="00000000">
      <w:pPr>
        <w:spacing w:after="120" w:line="276" w:lineRule="auto"/>
        <w:jc w:val="both"/>
        <w:rPr>
          <w:rFonts w:ascii="Times New Roman" w:hAnsi="Times New Roman" w:cs="Times New Roman"/>
          <w:sz w:val="24"/>
          <w:szCs w:val="24"/>
        </w:rPr>
      </w:pPr>
      <w:r w:rsidRPr="00D66795">
        <w:rPr>
          <w:rFonts w:ascii="Times New Roman" w:hAnsi="Times New Roman" w:cs="Times New Roman"/>
          <w:sz w:val="24"/>
          <w:szCs w:val="24"/>
        </w:rPr>
        <w:t xml:space="preserve">Location: Central District. </w:t>
      </w:r>
      <w:proofErr w:type="spellStart"/>
      <w:r w:rsidRPr="00D66795">
        <w:rPr>
          <w:rFonts w:ascii="Times New Roman" w:hAnsi="Times New Roman" w:cs="Times New Roman"/>
          <w:sz w:val="24"/>
          <w:szCs w:val="24"/>
        </w:rPr>
        <w:t>Licences</w:t>
      </w:r>
      <w:proofErr w:type="spellEnd"/>
      <w:r w:rsidRPr="00D66795">
        <w:rPr>
          <w:rFonts w:ascii="Times New Roman" w:hAnsi="Times New Roman" w:cs="Times New Roman"/>
          <w:sz w:val="24"/>
          <w:szCs w:val="24"/>
        </w:rPr>
        <w:t xml:space="preserve">: mining </w:t>
      </w:r>
      <w:proofErr w:type="spellStart"/>
      <w:r w:rsidRPr="00D66795">
        <w:rPr>
          <w:rFonts w:ascii="Times New Roman" w:hAnsi="Times New Roman" w:cs="Times New Roman"/>
          <w:sz w:val="24"/>
          <w:szCs w:val="24"/>
        </w:rPr>
        <w:t>licence</w:t>
      </w:r>
      <w:proofErr w:type="spellEnd"/>
      <w:r w:rsidRPr="00D66795">
        <w:rPr>
          <w:rFonts w:ascii="Times New Roman" w:hAnsi="Times New Roman" w:cs="Times New Roman"/>
          <w:sz w:val="24"/>
          <w:szCs w:val="24"/>
        </w:rPr>
        <w:t xml:space="preserve"> valid until 2042 and extensive prospecting acreage (approximately 8,000 km² plus 800 km² production). Ownership: Tlou 100%. Resources: 2P 40.8 Bcf, 3P 426.6 Bcf, 2C 214 Bcf. Status: gas field developed; 10 MW gas-to-power under PPA with BPC; 66 kV grid connection advanced; expansion toward 25 MW and potentially 100 MW planned. Alternative offtake concepts (data </w:t>
      </w:r>
      <w:proofErr w:type="spellStart"/>
      <w:r w:rsidRPr="00D66795">
        <w:rPr>
          <w:rFonts w:ascii="Times New Roman" w:hAnsi="Times New Roman" w:cs="Times New Roman"/>
          <w:sz w:val="24"/>
          <w:szCs w:val="24"/>
        </w:rPr>
        <w:t>centres</w:t>
      </w:r>
      <w:proofErr w:type="spellEnd"/>
      <w:r w:rsidRPr="00D66795">
        <w:rPr>
          <w:rFonts w:ascii="Times New Roman" w:hAnsi="Times New Roman" w:cs="Times New Roman"/>
          <w:sz w:val="24"/>
          <w:szCs w:val="24"/>
        </w:rPr>
        <w:t xml:space="preserve">) have been discussed. </w:t>
      </w:r>
      <w:proofErr w:type="spellStart"/>
      <w:r w:rsidRPr="00D66795">
        <w:rPr>
          <w:rFonts w:ascii="Times New Roman" w:hAnsi="Times New Roman" w:cs="Times New Roman"/>
          <w:sz w:val="24"/>
          <w:szCs w:val="24"/>
        </w:rPr>
        <w:t>Categorised</w:t>
      </w:r>
      <w:proofErr w:type="spellEnd"/>
      <w:r w:rsidRPr="00D66795">
        <w:rPr>
          <w:rFonts w:ascii="Times New Roman" w:hAnsi="Times New Roman" w:cs="Times New Roman"/>
          <w:sz w:val="24"/>
          <w:szCs w:val="24"/>
        </w:rPr>
        <w:t xml:space="preserve"> as development / near-production (Tlou Energy, n.d.).</w:t>
      </w:r>
    </w:p>
    <w:p w14:paraId="52A82323" w14:textId="24547A60" w:rsidR="00EC027C" w:rsidRPr="00D66795" w:rsidRDefault="00000000">
      <w:pPr>
        <w:pStyle w:val="Heading2"/>
        <w:rPr>
          <w:rFonts w:ascii="Times New Roman" w:hAnsi="Times New Roman" w:cs="Times New Roman"/>
          <w:color w:val="auto"/>
        </w:rPr>
      </w:pPr>
      <w:r w:rsidRPr="00D66795">
        <w:rPr>
          <w:rFonts w:ascii="Times New Roman" w:hAnsi="Times New Roman" w:cs="Times New Roman"/>
          <w:color w:val="auto"/>
        </w:rPr>
        <w:t>Other Activity</w:t>
      </w:r>
    </w:p>
    <w:p w14:paraId="1758E43D" w14:textId="77777777" w:rsidR="00EC027C" w:rsidRPr="00D66795" w:rsidRDefault="00000000">
      <w:pPr>
        <w:spacing w:after="120" w:line="276" w:lineRule="auto"/>
        <w:jc w:val="both"/>
        <w:rPr>
          <w:rFonts w:ascii="Times New Roman" w:hAnsi="Times New Roman" w:cs="Times New Roman"/>
          <w:sz w:val="24"/>
          <w:szCs w:val="24"/>
        </w:rPr>
      </w:pPr>
      <w:r w:rsidRPr="00D66795">
        <w:rPr>
          <w:rFonts w:ascii="Times New Roman" w:hAnsi="Times New Roman" w:cs="Times New Roman"/>
          <w:sz w:val="24"/>
          <w:szCs w:val="24"/>
        </w:rPr>
        <w:t xml:space="preserve">Kalahari Energy holds </w:t>
      </w:r>
      <w:proofErr w:type="spellStart"/>
      <w:r w:rsidRPr="00D66795">
        <w:rPr>
          <w:rFonts w:ascii="Times New Roman" w:hAnsi="Times New Roman" w:cs="Times New Roman"/>
          <w:sz w:val="24"/>
          <w:szCs w:val="24"/>
        </w:rPr>
        <w:t>licences</w:t>
      </w:r>
      <w:proofErr w:type="spellEnd"/>
      <w:r w:rsidRPr="00D66795">
        <w:rPr>
          <w:rFonts w:ascii="Times New Roman" w:hAnsi="Times New Roman" w:cs="Times New Roman"/>
          <w:sz w:val="24"/>
          <w:szCs w:val="24"/>
        </w:rPr>
        <w:t xml:space="preserve"> and has historically pursued gas-to-power concepts; current public operational detail is limited. The Botswana Power Corporation has issued tenders for the design, installation, commissioning and operation of 10 MW CBM pilot plants as independent power producers (Botswana Power Corporation, 2026).</w:t>
      </w:r>
    </w:p>
    <w:p w14:paraId="4838A890" w14:textId="77777777" w:rsidR="00EC027C" w:rsidRPr="00D66795" w:rsidRDefault="00000000">
      <w:pPr>
        <w:pStyle w:val="Heading2"/>
        <w:rPr>
          <w:rFonts w:ascii="Times New Roman" w:hAnsi="Times New Roman" w:cs="Times New Roman"/>
          <w:color w:val="auto"/>
        </w:rPr>
      </w:pPr>
      <w:r w:rsidRPr="00D66795">
        <w:rPr>
          <w:rFonts w:ascii="Times New Roman" w:hAnsi="Times New Roman" w:cs="Times New Roman"/>
          <w:color w:val="auto"/>
        </w:rPr>
        <w:t>Table 3. Botswana CBM Project Pipeline Summary (September 2026)</w:t>
      </w:r>
    </w:p>
    <w:tbl>
      <w:tblPr>
        <w:tblStyle w:val="TableGrid"/>
        <w:tblW w:w="9355" w:type="dxa"/>
        <w:tblLook w:val="04A0" w:firstRow="1" w:lastRow="0" w:firstColumn="1" w:lastColumn="0" w:noHBand="0" w:noVBand="1"/>
      </w:tblPr>
      <w:tblGrid>
        <w:gridCol w:w="1885"/>
        <w:gridCol w:w="1620"/>
        <w:gridCol w:w="1800"/>
        <w:gridCol w:w="1800"/>
        <w:gridCol w:w="2250"/>
      </w:tblGrid>
      <w:tr w:rsidR="00D66795" w:rsidRPr="00D66795" w14:paraId="0C72DEBA" w14:textId="77777777" w:rsidTr="00D66795">
        <w:tc>
          <w:tcPr>
            <w:tcW w:w="1885" w:type="dxa"/>
          </w:tcPr>
          <w:p w14:paraId="40A78330"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b/>
                <w:bCs/>
                <w:sz w:val="24"/>
                <w:szCs w:val="24"/>
              </w:rPr>
              <w:t>Project</w:t>
            </w:r>
          </w:p>
        </w:tc>
        <w:tc>
          <w:tcPr>
            <w:tcW w:w="1620" w:type="dxa"/>
          </w:tcPr>
          <w:p w14:paraId="7560B156"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b/>
                <w:bCs/>
                <w:sz w:val="24"/>
                <w:szCs w:val="24"/>
              </w:rPr>
              <w:t>Operator</w:t>
            </w:r>
          </w:p>
        </w:tc>
        <w:tc>
          <w:tcPr>
            <w:tcW w:w="1800" w:type="dxa"/>
          </w:tcPr>
          <w:p w14:paraId="19801579"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b/>
                <w:bCs/>
                <w:sz w:val="24"/>
                <w:szCs w:val="24"/>
              </w:rPr>
              <w:t>Focus</w:t>
            </w:r>
          </w:p>
        </w:tc>
        <w:tc>
          <w:tcPr>
            <w:tcW w:w="1800" w:type="dxa"/>
          </w:tcPr>
          <w:p w14:paraId="61C485B7"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b/>
                <w:bCs/>
                <w:sz w:val="24"/>
                <w:szCs w:val="24"/>
              </w:rPr>
              <w:t>Status</w:t>
            </w:r>
          </w:p>
        </w:tc>
        <w:tc>
          <w:tcPr>
            <w:tcW w:w="2250" w:type="dxa"/>
          </w:tcPr>
          <w:p w14:paraId="4B4AB79D"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b/>
                <w:bCs/>
                <w:sz w:val="24"/>
                <w:szCs w:val="24"/>
              </w:rPr>
              <w:t>Key Near-Term</w:t>
            </w:r>
          </w:p>
        </w:tc>
      </w:tr>
      <w:tr w:rsidR="00D66795" w:rsidRPr="00D66795" w14:paraId="362506FE" w14:textId="77777777" w:rsidTr="00D66795">
        <w:tc>
          <w:tcPr>
            <w:tcW w:w="1885" w:type="dxa"/>
          </w:tcPr>
          <w:p w14:paraId="2DD72D22" w14:textId="77777777" w:rsidR="00EC027C" w:rsidRPr="00D66795" w:rsidRDefault="00000000">
            <w:pPr>
              <w:rPr>
                <w:rFonts w:ascii="Times New Roman" w:hAnsi="Times New Roman" w:cs="Times New Roman"/>
                <w:sz w:val="24"/>
                <w:szCs w:val="24"/>
              </w:rPr>
            </w:pPr>
            <w:proofErr w:type="spellStart"/>
            <w:r w:rsidRPr="00D66795">
              <w:rPr>
                <w:rFonts w:ascii="Times New Roman" w:hAnsi="Times New Roman" w:cs="Times New Roman"/>
                <w:sz w:val="24"/>
                <w:szCs w:val="24"/>
              </w:rPr>
              <w:t>Serowe</w:t>
            </w:r>
            <w:proofErr w:type="spellEnd"/>
          </w:p>
        </w:tc>
        <w:tc>
          <w:tcPr>
            <w:tcW w:w="1620" w:type="dxa"/>
          </w:tcPr>
          <w:p w14:paraId="32EB4798" w14:textId="77777777" w:rsidR="00EC027C" w:rsidRPr="00D66795" w:rsidRDefault="00000000">
            <w:pPr>
              <w:rPr>
                <w:rFonts w:ascii="Times New Roman" w:hAnsi="Times New Roman" w:cs="Times New Roman"/>
                <w:sz w:val="24"/>
                <w:szCs w:val="24"/>
              </w:rPr>
            </w:pPr>
            <w:proofErr w:type="spellStart"/>
            <w:r w:rsidRPr="00D66795">
              <w:rPr>
                <w:rFonts w:ascii="Times New Roman" w:hAnsi="Times New Roman" w:cs="Times New Roman"/>
                <w:sz w:val="24"/>
                <w:szCs w:val="24"/>
              </w:rPr>
              <w:t>Botala</w:t>
            </w:r>
            <w:proofErr w:type="spellEnd"/>
            <w:r w:rsidRPr="00D66795">
              <w:rPr>
                <w:rFonts w:ascii="Times New Roman" w:hAnsi="Times New Roman" w:cs="Times New Roman"/>
                <w:sz w:val="24"/>
                <w:szCs w:val="24"/>
              </w:rPr>
              <w:t xml:space="preserve"> Energy</w:t>
            </w:r>
          </w:p>
        </w:tc>
        <w:tc>
          <w:tcPr>
            <w:tcW w:w="1800" w:type="dxa"/>
          </w:tcPr>
          <w:p w14:paraId="07266EAF"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sz w:val="24"/>
                <w:szCs w:val="24"/>
              </w:rPr>
              <w:t>CBM-to-LNG</w:t>
            </w:r>
          </w:p>
        </w:tc>
        <w:tc>
          <w:tcPr>
            <w:tcW w:w="1800" w:type="dxa"/>
          </w:tcPr>
          <w:p w14:paraId="6870E898"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sz w:val="24"/>
                <w:szCs w:val="24"/>
              </w:rPr>
              <w:t>Pilot / pre-FID</w:t>
            </w:r>
          </w:p>
        </w:tc>
        <w:tc>
          <w:tcPr>
            <w:tcW w:w="2250" w:type="dxa"/>
          </w:tcPr>
          <w:p w14:paraId="4E97F1D3"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sz w:val="24"/>
                <w:szCs w:val="24"/>
              </w:rPr>
              <w:t>FID H2 2026</w:t>
            </w:r>
          </w:p>
        </w:tc>
      </w:tr>
      <w:tr w:rsidR="00D66795" w:rsidRPr="00D66795" w14:paraId="69FC0BB7" w14:textId="77777777" w:rsidTr="00D66795">
        <w:tc>
          <w:tcPr>
            <w:tcW w:w="1885" w:type="dxa"/>
          </w:tcPr>
          <w:p w14:paraId="458A01DC"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sz w:val="24"/>
                <w:szCs w:val="24"/>
              </w:rPr>
              <w:t>Lesedi</w:t>
            </w:r>
          </w:p>
        </w:tc>
        <w:tc>
          <w:tcPr>
            <w:tcW w:w="1620" w:type="dxa"/>
          </w:tcPr>
          <w:p w14:paraId="5A76289E"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sz w:val="24"/>
                <w:szCs w:val="24"/>
              </w:rPr>
              <w:t>Tlou Energy</w:t>
            </w:r>
          </w:p>
        </w:tc>
        <w:tc>
          <w:tcPr>
            <w:tcW w:w="1800" w:type="dxa"/>
          </w:tcPr>
          <w:p w14:paraId="02010B1F"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sz w:val="24"/>
                <w:szCs w:val="24"/>
              </w:rPr>
              <w:t>Gas-to-power</w:t>
            </w:r>
          </w:p>
        </w:tc>
        <w:tc>
          <w:tcPr>
            <w:tcW w:w="1800" w:type="dxa"/>
          </w:tcPr>
          <w:p w14:paraId="7D144FF1"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sz w:val="24"/>
                <w:szCs w:val="24"/>
              </w:rPr>
              <w:t>Development</w:t>
            </w:r>
          </w:p>
        </w:tc>
        <w:tc>
          <w:tcPr>
            <w:tcW w:w="2250" w:type="dxa"/>
          </w:tcPr>
          <w:p w14:paraId="0F4BCCCA"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sz w:val="24"/>
                <w:szCs w:val="24"/>
              </w:rPr>
              <w:t>First generation</w:t>
            </w:r>
          </w:p>
        </w:tc>
      </w:tr>
      <w:tr w:rsidR="00D66795" w:rsidRPr="00D66795" w14:paraId="315912AB" w14:textId="77777777" w:rsidTr="00D66795">
        <w:tc>
          <w:tcPr>
            <w:tcW w:w="1885" w:type="dxa"/>
          </w:tcPr>
          <w:p w14:paraId="055A5D60"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sz w:val="24"/>
                <w:szCs w:val="24"/>
              </w:rPr>
              <w:t>BPC CBM Pilots</w:t>
            </w:r>
          </w:p>
        </w:tc>
        <w:tc>
          <w:tcPr>
            <w:tcW w:w="1620" w:type="dxa"/>
          </w:tcPr>
          <w:p w14:paraId="76BCE2F2"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sz w:val="24"/>
                <w:szCs w:val="24"/>
              </w:rPr>
              <w:t>Tender / IPPs</w:t>
            </w:r>
          </w:p>
        </w:tc>
        <w:tc>
          <w:tcPr>
            <w:tcW w:w="1800" w:type="dxa"/>
          </w:tcPr>
          <w:p w14:paraId="475B4B29"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sz w:val="24"/>
                <w:szCs w:val="24"/>
              </w:rPr>
              <w:t>Power (10 MW)</w:t>
            </w:r>
          </w:p>
        </w:tc>
        <w:tc>
          <w:tcPr>
            <w:tcW w:w="1800" w:type="dxa"/>
          </w:tcPr>
          <w:p w14:paraId="145F3771"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sz w:val="24"/>
                <w:szCs w:val="24"/>
              </w:rPr>
              <w:t>Tender stage</w:t>
            </w:r>
          </w:p>
        </w:tc>
        <w:tc>
          <w:tcPr>
            <w:tcW w:w="2250" w:type="dxa"/>
          </w:tcPr>
          <w:p w14:paraId="23DEB1D6" w14:textId="77777777" w:rsidR="00EC027C" w:rsidRPr="00D66795" w:rsidRDefault="00000000">
            <w:pPr>
              <w:rPr>
                <w:rFonts w:ascii="Times New Roman" w:hAnsi="Times New Roman" w:cs="Times New Roman"/>
                <w:sz w:val="24"/>
                <w:szCs w:val="24"/>
              </w:rPr>
            </w:pPr>
            <w:r w:rsidRPr="00D66795">
              <w:rPr>
                <w:rFonts w:ascii="Times New Roman" w:hAnsi="Times New Roman" w:cs="Times New Roman"/>
                <w:sz w:val="24"/>
                <w:szCs w:val="24"/>
              </w:rPr>
              <w:t>Award process</w:t>
            </w:r>
          </w:p>
        </w:tc>
      </w:tr>
    </w:tbl>
    <w:p w14:paraId="412DFF3D" w14:textId="77777777" w:rsidR="00EC027C" w:rsidRPr="00D66795" w:rsidRDefault="00EC027C">
      <w:pPr>
        <w:spacing w:after="200"/>
        <w:rPr>
          <w:rFonts w:ascii="Times New Roman" w:hAnsi="Times New Roman" w:cs="Times New Roman"/>
          <w:sz w:val="24"/>
          <w:szCs w:val="24"/>
        </w:rPr>
      </w:pPr>
    </w:p>
    <w:p w14:paraId="1CA5AE30" w14:textId="577572E4" w:rsidR="00EC027C" w:rsidRPr="00D66795" w:rsidRDefault="00000000">
      <w:pPr>
        <w:pStyle w:val="Heading1"/>
        <w:rPr>
          <w:rFonts w:ascii="Times New Roman" w:hAnsi="Times New Roman" w:cs="Times New Roman"/>
          <w:color w:val="auto"/>
          <w:sz w:val="24"/>
          <w:szCs w:val="24"/>
        </w:rPr>
      </w:pPr>
      <w:r w:rsidRPr="00D66795">
        <w:rPr>
          <w:rFonts w:ascii="Times New Roman" w:hAnsi="Times New Roman" w:cs="Times New Roman"/>
          <w:color w:val="auto"/>
          <w:sz w:val="24"/>
          <w:szCs w:val="24"/>
        </w:rPr>
        <w:t>Key Companies and Investors</w:t>
      </w:r>
    </w:p>
    <w:p w14:paraId="1B1837EA" w14:textId="77777777" w:rsidR="00EC027C" w:rsidRPr="00D66795" w:rsidRDefault="00000000" w:rsidP="00D66795">
      <w:pPr>
        <w:pStyle w:val="Heading3"/>
        <w:numPr>
          <w:ilvl w:val="0"/>
          <w:numId w:val="4"/>
        </w:numPr>
        <w:rPr>
          <w:rFonts w:ascii="Times New Roman" w:hAnsi="Times New Roman" w:cs="Times New Roman"/>
          <w:color w:val="auto"/>
          <w:sz w:val="24"/>
          <w:szCs w:val="24"/>
        </w:rPr>
      </w:pPr>
      <w:proofErr w:type="spellStart"/>
      <w:r w:rsidRPr="00D66795">
        <w:rPr>
          <w:rFonts w:ascii="Times New Roman" w:hAnsi="Times New Roman" w:cs="Times New Roman"/>
          <w:color w:val="auto"/>
          <w:sz w:val="24"/>
          <w:szCs w:val="24"/>
        </w:rPr>
        <w:t>Botala</w:t>
      </w:r>
      <w:proofErr w:type="spellEnd"/>
      <w:r w:rsidRPr="00D66795">
        <w:rPr>
          <w:rFonts w:ascii="Times New Roman" w:hAnsi="Times New Roman" w:cs="Times New Roman"/>
          <w:color w:val="auto"/>
          <w:sz w:val="24"/>
          <w:szCs w:val="24"/>
        </w:rPr>
        <w:t xml:space="preserve"> Energy (ASX/BSE: BTE)</w:t>
      </w:r>
    </w:p>
    <w:p w14:paraId="0B25C2A2" w14:textId="77777777" w:rsidR="00EC027C" w:rsidRPr="00D66795" w:rsidRDefault="00000000" w:rsidP="00D66795">
      <w:pPr>
        <w:spacing w:after="120" w:line="276" w:lineRule="auto"/>
        <w:jc w:val="both"/>
        <w:rPr>
          <w:rFonts w:ascii="Times New Roman" w:hAnsi="Times New Roman" w:cs="Times New Roman"/>
          <w:sz w:val="24"/>
          <w:szCs w:val="24"/>
        </w:rPr>
      </w:pPr>
      <w:r w:rsidRPr="00D66795">
        <w:rPr>
          <w:rFonts w:ascii="Times New Roman" w:hAnsi="Times New Roman" w:cs="Times New Roman"/>
          <w:sz w:val="24"/>
          <w:szCs w:val="24"/>
        </w:rPr>
        <w:t xml:space="preserve">Australian-listed, Botswana-focused CBM-to-LNG developer. Holds 100% of </w:t>
      </w:r>
      <w:proofErr w:type="spellStart"/>
      <w:r w:rsidRPr="00D66795">
        <w:rPr>
          <w:rFonts w:ascii="Times New Roman" w:hAnsi="Times New Roman" w:cs="Times New Roman"/>
          <w:sz w:val="24"/>
          <w:szCs w:val="24"/>
        </w:rPr>
        <w:t>Serowe</w:t>
      </w:r>
      <w:proofErr w:type="spellEnd"/>
      <w:r w:rsidRPr="00D66795">
        <w:rPr>
          <w:rFonts w:ascii="Times New Roman" w:hAnsi="Times New Roman" w:cs="Times New Roman"/>
          <w:sz w:val="24"/>
          <w:szCs w:val="24"/>
        </w:rPr>
        <w:t xml:space="preserve"> via subsidiary prior to MDCB close. Strategy </w:t>
      </w:r>
      <w:proofErr w:type="spellStart"/>
      <w:r w:rsidRPr="00D66795">
        <w:rPr>
          <w:rFonts w:ascii="Times New Roman" w:hAnsi="Times New Roman" w:cs="Times New Roman"/>
          <w:sz w:val="24"/>
          <w:szCs w:val="24"/>
        </w:rPr>
        <w:t>centres</w:t>
      </w:r>
      <w:proofErr w:type="spellEnd"/>
      <w:r w:rsidRPr="00D66795">
        <w:rPr>
          <w:rFonts w:ascii="Times New Roman" w:hAnsi="Times New Roman" w:cs="Times New Roman"/>
          <w:sz w:val="24"/>
          <w:szCs w:val="24"/>
        </w:rPr>
        <w:t xml:space="preserve"> on modular LNG for industrial offtake and a potential power/industrial hub at </w:t>
      </w:r>
      <w:proofErr w:type="spellStart"/>
      <w:r w:rsidRPr="00D66795">
        <w:rPr>
          <w:rFonts w:ascii="Times New Roman" w:hAnsi="Times New Roman" w:cs="Times New Roman"/>
          <w:sz w:val="24"/>
          <w:szCs w:val="24"/>
        </w:rPr>
        <w:t>Leupane</w:t>
      </w:r>
      <w:proofErr w:type="spellEnd"/>
      <w:r w:rsidRPr="00D66795">
        <w:rPr>
          <w:rFonts w:ascii="Times New Roman" w:hAnsi="Times New Roman" w:cs="Times New Roman"/>
          <w:sz w:val="24"/>
          <w:szCs w:val="24"/>
        </w:rPr>
        <w:t xml:space="preserve">. Recent milestones include the 2024 resource upgrade, </w:t>
      </w:r>
      <w:r w:rsidRPr="00D66795">
        <w:rPr>
          <w:rFonts w:ascii="Times New Roman" w:hAnsi="Times New Roman" w:cs="Times New Roman"/>
          <w:sz w:val="24"/>
          <w:szCs w:val="24"/>
        </w:rPr>
        <w:lastRenderedPageBreak/>
        <w:t xml:space="preserve">mining </w:t>
      </w:r>
      <w:proofErr w:type="spellStart"/>
      <w:r w:rsidRPr="00D66795">
        <w:rPr>
          <w:rFonts w:ascii="Times New Roman" w:hAnsi="Times New Roman" w:cs="Times New Roman"/>
          <w:sz w:val="24"/>
          <w:szCs w:val="24"/>
        </w:rPr>
        <w:t>licence</w:t>
      </w:r>
      <w:proofErr w:type="spellEnd"/>
      <w:r w:rsidRPr="00D66795">
        <w:rPr>
          <w:rFonts w:ascii="Times New Roman" w:hAnsi="Times New Roman" w:cs="Times New Roman"/>
          <w:sz w:val="24"/>
          <w:szCs w:val="24"/>
        </w:rPr>
        <w:t>, offtake LOI, government term sheet and early continuous flow at well 3.5B (</w:t>
      </w:r>
      <w:proofErr w:type="spellStart"/>
      <w:r w:rsidRPr="00D66795">
        <w:rPr>
          <w:rFonts w:ascii="Times New Roman" w:hAnsi="Times New Roman" w:cs="Times New Roman"/>
          <w:sz w:val="24"/>
          <w:szCs w:val="24"/>
        </w:rPr>
        <w:t>Botala</w:t>
      </w:r>
      <w:proofErr w:type="spellEnd"/>
      <w:r w:rsidRPr="00D66795">
        <w:rPr>
          <w:rFonts w:ascii="Times New Roman" w:hAnsi="Times New Roman" w:cs="Times New Roman"/>
          <w:sz w:val="24"/>
          <w:szCs w:val="24"/>
        </w:rPr>
        <w:t xml:space="preserve"> Energy, 2024, 2025a, 2026a).</w:t>
      </w:r>
    </w:p>
    <w:p w14:paraId="42A8844A" w14:textId="77777777" w:rsidR="00EC027C" w:rsidRPr="00D66795" w:rsidRDefault="00000000" w:rsidP="00D66795">
      <w:pPr>
        <w:pStyle w:val="Heading3"/>
        <w:numPr>
          <w:ilvl w:val="0"/>
          <w:numId w:val="4"/>
        </w:numPr>
        <w:rPr>
          <w:rFonts w:ascii="Times New Roman" w:hAnsi="Times New Roman" w:cs="Times New Roman"/>
          <w:color w:val="auto"/>
          <w:sz w:val="24"/>
          <w:szCs w:val="24"/>
        </w:rPr>
      </w:pPr>
      <w:r w:rsidRPr="00D66795">
        <w:rPr>
          <w:rFonts w:ascii="Times New Roman" w:hAnsi="Times New Roman" w:cs="Times New Roman"/>
          <w:color w:val="auto"/>
          <w:sz w:val="24"/>
          <w:szCs w:val="24"/>
        </w:rPr>
        <w:t>Tlou Energy (ASX/BSE)</w:t>
      </w:r>
    </w:p>
    <w:p w14:paraId="55E7D0A4" w14:textId="77777777" w:rsidR="00EC027C" w:rsidRPr="00D66795" w:rsidRDefault="00000000" w:rsidP="00D66795">
      <w:pPr>
        <w:spacing w:after="120" w:line="276" w:lineRule="auto"/>
        <w:jc w:val="both"/>
        <w:rPr>
          <w:rFonts w:ascii="Times New Roman" w:hAnsi="Times New Roman" w:cs="Times New Roman"/>
          <w:sz w:val="24"/>
          <w:szCs w:val="24"/>
        </w:rPr>
      </w:pPr>
      <w:r w:rsidRPr="00D66795">
        <w:rPr>
          <w:rFonts w:ascii="Times New Roman" w:hAnsi="Times New Roman" w:cs="Times New Roman"/>
          <w:sz w:val="24"/>
          <w:szCs w:val="24"/>
        </w:rPr>
        <w:t xml:space="preserve">Longer-established CBM-to-power developer. Lesedi is the flagship asset with certified reserves and a PPA. The company is exploring power expansion and alternative offtake including data </w:t>
      </w:r>
      <w:proofErr w:type="spellStart"/>
      <w:r w:rsidRPr="00D66795">
        <w:rPr>
          <w:rFonts w:ascii="Times New Roman" w:hAnsi="Times New Roman" w:cs="Times New Roman"/>
          <w:sz w:val="24"/>
          <w:szCs w:val="24"/>
        </w:rPr>
        <w:t>centres</w:t>
      </w:r>
      <w:proofErr w:type="spellEnd"/>
      <w:r w:rsidRPr="00D66795">
        <w:rPr>
          <w:rFonts w:ascii="Times New Roman" w:hAnsi="Times New Roman" w:cs="Times New Roman"/>
          <w:sz w:val="24"/>
          <w:szCs w:val="24"/>
        </w:rPr>
        <w:t xml:space="preserve"> (Tlou Energy, n.d.).</w:t>
      </w:r>
    </w:p>
    <w:p w14:paraId="393C018A" w14:textId="77777777" w:rsidR="00EC027C" w:rsidRPr="00D66795" w:rsidRDefault="00000000" w:rsidP="00D66795">
      <w:pPr>
        <w:pStyle w:val="Heading3"/>
        <w:numPr>
          <w:ilvl w:val="0"/>
          <w:numId w:val="4"/>
        </w:numPr>
        <w:rPr>
          <w:rFonts w:ascii="Times New Roman" w:hAnsi="Times New Roman" w:cs="Times New Roman"/>
          <w:color w:val="auto"/>
          <w:sz w:val="24"/>
          <w:szCs w:val="24"/>
        </w:rPr>
      </w:pPr>
      <w:r w:rsidRPr="00D66795">
        <w:rPr>
          <w:rFonts w:ascii="Times New Roman" w:hAnsi="Times New Roman" w:cs="Times New Roman"/>
          <w:color w:val="auto"/>
          <w:sz w:val="24"/>
          <w:szCs w:val="24"/>
        </w:rPr>
        <w:t>Minerals Development Company Botswana (MDCB)</w:t>
      </w:r>
    </w:p>
    <w:p w14:paraId="4E13DC6E" w14:textId="77777777" w:rsidR="00EC027C" w:rsidRPr="00D66795" w:rsidRDefault="00000000" w:rsidP="00D66795">
      <w:pPr>
        <w:spacing w:after="120" w:line="276" w:lineRule="auto"/>
        <w:jc w:val="both"/>
        <w:rPr>
          <w:rFonts w:ascii="Times New Roman" w:hAnsi="Times New Roman" w:cs="Times New Roman"/>
          <w:sz w:val="24"/>
          <w:szCs w:val="24"/>
        </w:rPr>
      </w:pPr>
      <w:r w:rsidRPr="00D66795">
        <w:rPr>
          <w:rFonts w:ascii="Times New Roman" w:hAnsi="Times New Roman" w:cs="Times New Roman"/>
          <w:sz w:val="24"/>
          <w:szCs w:val="24"/>
        </w:rPr>
        <w:t xml:space="preserve">State investment vehicle under the Ministry of Minerals and Energy. Proposed 15% equity plus royalty participation in </w:t>
      </w:r>
      <w:proofErr w:type="spellStart"/>
      <w:r w:rsidRPr="00D66795">
        <w:rPr>
          <w:rFonts w:ascii="Times New Roman" w:hAnsi="Times New Roman" w:cs="Times New Roman"/>
          <w:sz w:val="24"/>
          <w:szCs w:val="24"/>
        </w:rPr>
        <w:t>Serowe</w:t>
      </w:r>
      <w:proofErr w:type="spellEnd"/>
      <w:r w:rsidRPr="00D66795">
        <w:rPr>
          <w:rFonts w:ascii="Times New Roman" w:hAnsi="Times New Roman" w:cs="Times New Roman"/>
          <w:sz w:val="24"/>
          <w:szCs w:val="24"/>
        </w:rPr>
        <w:t xml:space="preserve"> (</w:t>
      </w:r>
      <w:proofErr w:type="spellStart"/>
      <w:r w:rsidRPr="00D66795">
        <w:rPr>
          <w:rFonts w:ascii="Times New Roman" w:hAnsi="Times New Roman" w:cs="Times New Roman"/>
          <w:sz w:val="24"/>
          <w:szCs w:val="24"/>
        </w:rPr>
        <w:t>Botala</w:t>
      </w:r>
      <w:proofErr w:type="spellEnd"/>
      <w:r w:rsidRPr="00D66795">
        <w:rPr>
          <w:rFonts w:ascii="Times New Roman" w:hAnsi="Times New Roman" w:cs="Times New Roman"/>
          <w:sz w:val="24"/>
          <w:szCs w:val="24"/>
        </w:rPr>
        <w:t xml:space="preserve"> Energy, 2025a).</w:t>
      </w:r>
    </w:p>
    <w:p w14:paraId="6AFC44DF" w14:textId="77777777" w:rsidR="00EC027C" w:rsidRPr="00D66795" w:rsidRDefault="00000000" w:rsidP="00D66795">
      <w:pPr>
        <w:pStyle w:val="Heading3"/>
        <w:numPr>
          <w:ilvl w:val="0"/>
          <w:numId w:val="4"/>
        </w:numPr>
        <w:rPr>
          <w:rFonts w:ascii="Times New Roman" w:hAnsi="Times New Roman" w:cs="Times New Roman"/>
          <w:color w:val="auto"/>
          <w:sz w:val="24"/>
          <w:szCs w:val="24"/>
        </w:rPr>
      </w:pPr>
      <w:r w:rsidRPr="00D66795">
        <w:rPr>
          <w:rFonts w:ascii="Times New Roman" w:hAnsi="Times New Roman" w:cs="Times New Roman"/>
          <w:color w:val="auto"/>
          <w:sz w:val="24"/>
          <w:szCs w:val="24"/>
        </w:rPr>
        <w:t>Kalahari Energy</w:t>
      </w:r>
    </w:p>
    <w:p w14:paraId="6AEB01D7" w14:textId="77777777" w:rsidR="00EC027C" w:rsidRPr="00D66795" w:rsidRDefault="00000000" w:rsidP="00D66795">
      <w:pPr>
        <w:spacing w:after="120" w:line="276" w:lineRule="auto"/>
        <w:jc w:val="both"/>
        <w:rPr>
          <w:rFonts w:ascii="Times New Roman" w:hAnsi="Times New Roman" w:cs="Times New Roman"/>
          <w:sz w:val="24"/>
          <w:szCs w:val="24"/>
        </w:rPr>
      </w:pPr>
      <w:r w:rsidRPr="00D66795">
        <w:rPr>
          <w:rFonts w:ascii="Times New Roman" w:hAnsi="Times New Roman" w:cs="Times New Roman"/>
          <w:sz w:val="24"/>
          <w:szCs w:val="24"/>
        </w:rPr>
        <w:t>Privately held; historical CBM activity and power-plant ambitions. Limited current public disclosure.</w:t>
      </w:r>
    </w:p>
    <w:p w14:paraId="54B2856C" w14:textId="77777777" w:rsidR="00EC027C" w:rsidRPr="00D66795" w:rsidRDefault="00000000" w:rsidP="00D66795">
      <w:pPr>
        <w:spacing w:after="120" w:line="276" w:lineRule="auto"/>
        <w:jc w:val="both"/>
        <w:rPr>
          <w:rFonts w:ascii="Times New Roman" w:hAnsi="Times New Roman" w:cs="Times New Roman"/>
          <w:sz w:val="24"/>
          <w:szCs w:val="24"/>
        </w:rPr>
      </w:pPr>
      <w:proofErr w:type="spellStart"/>
      <w:r w:rsidRPr="00D66795">
        <w:rPr>
          <w:rFonts w:ascii="Times New Roman" w:hAnsi="Times New Roman" w:cs="Times New Roman"/>
          <w:sz w:val="24"/>
          <w:szCs w:val="24"/>
        </w:rPr>
        <w:t>Offtakers</w:t>
      </w:r>
      <w:proofErr w:type="spellEnd"/>
      <w:r w:rsidRPr="00D66795">
        <w:rPr>
          <w:rFonts w:ascii="Times New Roman" w:hAnsi="Times New Roman" w:cs="Times New Roman"/>
          <w:sz w:val="24"/>
          <w:szCs w:val="24"/>
        </w:rPr>
        <w:t xml:space="preserve"> and potential partners include Scaw Metals (South African industrial), BPC (power), and emerging industrial users such as </w:t>
      </w:r>
      <w:proofErr w:type="spellStart"/>
      <w:r w:rsidRPr="00D66795">
        <w:rPr>
          <w:rFonts w:ascii="Times New Roman" w:hAnsi="Times New Roman" w:cs="Times New Roman"/>
          <w:sz w:val="24"/>
          <w:szCs w:val="24"/>
        </w:rPr>
        <w:t>Kemcore</w:t>
      </w:r>
      <w:proofErr w:type="spellEnd"/>
      <w:r w:rsidRPr="00D66795">
        <w:rPr>
          <w:rFonts w:ascii="Times New Roman" w:hAnsi="Times New Roman" w:cs="Times New Roman"/>
          <w:sz w:val="24"/>
          <w:szCs w:val="24"/>
        </w:rPr>
        <w:t xml:space="preserve"> (battery-chemicals discussions linked to the </w:t>
      </w:r>
      <w:proofErr w:type="spellStart"/>
      <w:r w:rsidRPr="00D66795">
        <w:rPr>
          <w:rFonts w:ascii="Times New Roman" w:hAnsi="Times New Roman" w:cs="Times New Roman"/>
          <w:sz w:val="24"/>
          <w:szCs w:val="24"/>
        </w:rPr>
        <w:t>Leupane</w:t>
      </w:r>
      <w:proofErr w:type="spellEnd"/>
      <w:r w:rsidRPr="00D66795">
        <w:rPr>
          <w:rFonts w:ascii="Times New Roman" w:hAnsi="Times New Roman" w:cs="Times New Roman"/>
          <w:sz w:val="24"/>
          <w:szCs w:val="24"/>
        </w:rPr>
        <w:t xml:space="preserve"> concept) (Business Insider Africa, 2026).</w:t>
      </w:r>
    </w:p>
    <w:p w14:paraId="5FB564DD" w14:textId="6F177FFB" w:rsidR="00EC027C" w:rsidRPr="00D66795" w:rsidRDefault="00000000">
      <w:pPr>
        <w:pStyle w:val="Heading1"/>
        <w:rPr>
          <w:rFonts w:ascii="Times New Roman" w:hAnsi="Times New Roman" w:cs="Times New Roman"/>
          <w:color w:val="auto"/>
          <w:sz w:val="24"/>
          <w:szCs w:val="24"/>
        </w:rPr>
      </w:pPr>
      <w:r w:rsidRPr="00D66795">
        <w:rPr>
          <w:rFonts w:ascii="Times New Roman" w:hAnsi="Times New Roman" w:cs="Times New Roman"/>
          <w:color w:val="auto"/>
          <w:sz w:val="24"/>
          <w:szCs w:val="24"/>
        </w:rPr>
        <w:t>Regulatory and Investment Framework</w:t>
      </w:r>
    </w:p>
    <w:p w14:paraId="4CEB49F3" w14:textId="77777777" w:rsidR="00EC027C" w:rsidRPr="00D66795" w:rsidRDefault="00000000">
      <w:pPr>
        <w:spacing w:after="120" w:line="276" w:lineRule="auto"/>
        <w:jc w:val="both"/>
        <w:rPr>
          <w:rFonts w:ascii="Times New Roman" w:hAnsi="Times New Roman" w:cs="Times New Roman"/>
          <w:sz w:val="24"/>
          <w:szCs w:val="24"/>
        </w:rPr>
      </w:pPr>
      <w:r w:rsidRPr="00D66795">
        <w:rPr>
          <w:rFonts w:ascii="Times New Roman" w:hAnsi="Times New Roman" w:cs="Times New Roman"/>
          <w:sz w:val="24"/>
          <w:szCs w:val="24"/>
        </w:rPr>
        <w:t xml:space="preserve">CBM is explicitly </w:t>
      </w:r>
      <w:proofErr w:type="spellStart"/>
      <w:r w:rsidRPr="00D66795">
        <w:rPr>
          <w:rFonts w:ascii="Times New Roman" w:hAnsi="Times New Roman" w:cs="Times New Roman"/>
          <w:sz w:val="24"/>
          <w:szCs w:val="24"/>
        </w:rPr>
        <w:t>recognised</w:t>
      </w:r>
      <w:proofErr w:type="spellEnd"/>
      <w:r w:rsidRPr="00D66795">
        <w:rPr>
          <w:rFonts w:ascii="Times New Roman" w:hAnsi="Times New Roman" w:cs="Times New Roman"/>
          <w:sz w:val="24"/>
          <w:szCs w:val="24"/>
        </w:rPr>
        <w:t xml:space="preserve"> under the Mines and Minerals Act as amended by Act 14 of 2024, which provides for coal-bed methane </w:t>
      </w:r>
      <w:proofErr w:type="spellStart"/>
      <w:r w:rsidRPr="00D66795">
        <w:rPr>
          <w:rFonts w:ascii="Times New Roman" w:hAnsi="Times New Roman" w:cs="Times New Roman"/>
          <w:sz w:val="24"/>
          <w:szCs w:val="24"/>
        </w:rPr>
        <w:t>licences</w:t>
      </w:r>
      <w:proofErr w:type="spellEnd"/>
      <w:r w:rsidRPr="00D66795">
        <w:rPr>
          <w:rFonts w:ascii="Times New Roman" w:hAnsi="Times New Roman" w:cs="Times New Roman"/>
          <w:sz w:val="24"/>
          <w:szCs w:val="24"/>
        </w:rPr>
        <w:t xml:space="preserve"> distinct from conventional petroleum rights under the Petroleum (Exploration and Production) Act (Botswana Government, 2024). The 2024 amendment also introduced local-ownership provisions requiring the offer of stakes to citizens or government in certain cases. The Botswana Energy Regulatory Authority (BERA) regulates electricity, petroleum and gas activities, including licensing of infrastructure, storage, transport and related operations.</w:t>
      </w:r>
    </w:p>
    <w:p w14:paraId="7980DD0B" w14:textId="77777777" w:rsidR="00EC027C" w:rsidRPr="00D66795" w:rsidRDefault="00000000">
      <w:pPr>
        <w:spacing w:after="120" w:line="276" w:lineRule="auto"/>
        <w:jc w:val="both"/>
        <w:rPr>
          <w:rFonts w:ascii="Times New Roman" w:hAnsi="Times New Roman" w:cs="Times New Roman"/>
          <w:sz w:val="24"/>
          <w:szCs w:val="24"/>
        </w:rPr>
      </w:pPr>
      <w:r w:rsidRPr="00D66795">
        <w:rPr>
          <w:rFonts w:ascii="Times New Roman" w:hAnsi="Times New Roman" w:cs="Times New Roman"/>
          <w:sz w:val="24"/>
          <w:szCs w:val="24"/>
        </w:rPr>
        <w:t xml:space="preserve">Key agencies include the Ministry of Minerals and Energy, the Department of Mines, MDCB, BPC, BERA and environmental authorities. Fiscal terms follow standard mining and petroleum frameworks (royalties, corporate tax, potential equity participation). Recent reforms have clarified CBM title and encouraged state participation. Regulatory risk is assessed as moderate: licensing processes have delivered mining </w:t>
      </w:r>
      <w:proofErr w:type="spellStart"/>
      <w:r w:rsidRPr="00D66795">
        <w:rPr>
          <w:rFonts w:ascii="Times New Roman" w:hAnsi="Times New Roman" w:cs="Times New Roman"/>
          <w:sz w:val="24"/>
          <w:szCs w:val="24"/>
        </w:rPr>
        <w:t>licences</w:t>
      </w:r>
      <w:proofErr w:type="spellEnd"/>
      <w:r w:rsidRPr="00D66795">
        <w:rPr>
          <w:rFonts w:ascii="Times New Roman" w:hAnsi="Times New Roman" w:cs="Times New Roman"/>
          <w:sz w:val="24"/>
          <w:szCs w:val="24"/>
        </w:rPr>
        <w:t xml:space="preserve"> and environmental approvals for </w:t>
      </w:r>
      <w:proofErr w:type="spellStart"/>
      <w:r w:rsidRPr="00D66795">
        <w:rPr>
          <w:rFonts w:ascii="Times New Roman" w:hAnsi="Times New Roman" w:cs="Times New Roman"/>
          <w:sz w:val="24"/>
          <w:szCs w:val="24"/>
        </w:rPr>
        <w:t>Serowe</w:t>
      </w:r>
      <w:proofErr w:type="spellEnd"/>
      <w:r w:rsidRPr="00D66795">
        <w:rPr>
          <w:rFonts w:ascii="Times New Roman" w:hAnsi="Times New Roman" w:cs="Times New Roman"/>
          <w:sz w:val="24"/>
          <w:szCs w:val="24"/>
        </w:rPr>
        <w:t>, while broader gas-market regulation and third-party access rules continue to mature.</w:t>
      </w:r>
    </w:p>
    <w:p w14:paraId="5FACF32B" w14:textId="051B884C" w:rsidR="00EC027C" w:rsidRPr="00D66795" w:rsidRDefault="00000000">
      <w:pPr>
        <w:pStyle w:val="Heading1"/>
        <w:rPr>
          <w:rFonts w:ascii="Times New Roman" w:hAnsi="Times New Roman" w:cs="Times New Roman"/>
          <w:color w:val="auto"/>
          <w:sz w:val="24"/>
          <w:szCs w:val="24"/>
        </w:rPr>
      </w:pPr>
      <w:r w:rsidRPr="00D66795">
        <w:rPr>
          <w:rFonts w:ascii="Times New Roman" w:hAnsi="Times New Roman" w:cs="Times New Roman"/>
          <w:color w:val="auto"/>
          <w:sz w:val="24"/>
          <w:szCs w:val="24"/>
        </w:rPr>
        <w:t>Infrastructure and Investment Requirements</w:t>
      </w:r>
    </w:p>
    <w:p w14:paraId="08F9A259" w14:textId="77777777" w:rsidR="00EC027C" w:rsidRPr="00D66795" w:rsidRDefault="00000000">
      <w:pPr>
        <w:spacing w:after="120" w:line="276" w:lineRule="auto"/>
        <w:jc w:val="both"/>
        <w:rPr>
          <w:rFonts w:ascii="Times New Roman" w:hAnsi="Times New Roman" w:cs="Times New Roman"/>
          <w:sz w:val="24"/>
          <w:szCs w:val="24"/>
        </w:rPr>
      </w:pPr>
      <w:r w:rsidRPr="00D66795">
        <w:rPr>
          <w:rFonts w:ascii="Times New Roman" w:hAnsi="Times New Roman" w:cs="Times New Roman"/>
          <w:sz w:val="24"/>
          <w:szCs w:val="24"/>
        </w:rPr>
        <w:t xml:space="preserve">Critical gaps include limited gas gathering, processing, compression and long-distance pipeline capacity. </w:t>
      </w:r>
      <w:proofErr w:type="spellStart"/>
      <w:r w:rsidRPr="00D66795">
        <w:rPr>
          <w:rFonts w:ascii="Times New Roman" w:hAnsi="Times New Roman" w:cs="Times New Roman"/>
          <w:sz w:val="24"/>
          <w:szCs w:val="24"/>
        </w:rPr>
        <w:t>Serowe</w:t>
      </w:r>
      <w:proofErr w:type="spellEnd"/>
      <w:r w:rsidRPr="00D66795">
        <w:rPr>
          <w:rFonts w:ascii="Times New Roman" w:hAnsi="Times New Roman" w:cs="Times New Roman"/>
          <w:sz w:val="24"/>
          <w:szCs w:val="24"/>
        </w:rPr>
        <w:t xml:space="preserve"> development is designed around modular mini-LNG units and trucking or short-haul distribution rather than large trunk pipelines. Power projects require generation plant and grid interconnection (Tlou has advanced 66 kV works). Additional requirements encompass produced-</w:t>
      </w:r>
      <w:r w:rsidRPr="00D66795">
        <w:rPr>
          <w:rFonts w:ascii="Times New Roman" w:hAnsi="Times New Roman" w:cs="Times New Roman"/>
          <w:sz w:val="24"/>
          <w:szCs w:val="24"/>
        </w:rPr>
        <w:lastRenderedPageBreak/>
        <w:t xml:space="preserve">water handling, possible CNG infrastructure, industrial distribution networks and hybrid gas-solar concepts (e.g., </w:t>
      </w:r>
      <w:proofErr w:type="spellStart"/>
      <w:r w:rsidRPr="00D66795">
        <w:rPr>
          <w:rFonts w:ascii="Times New Roman" w:hAnsi="Times New Roman" w:cs="Times New Roman"/>
          <w:sz w:val="24"/>
          <w:szCs w:val="24"/>
        </w:rPr>
        <w:t>Botala’s</w:t>
      </w:r>
      <w:proofErr w:type="spellEnd"/>
      <w:r w:rsidRPr="00D66795">
        <w:rPr>
          <w:rFonts w:ascii="Times New Roman" w:hAnsi="Times New Roman" w:cs="Times New Roman"/>
          <w:sz w:val="24"/>
          <w:szCs w:val="24"/>
        </w:rPr>
        <w:t xml:space="preserve"> </w:t>
      </w:r>
      <w:proofErr w:type="spellStart"/>
      <w:r w:rsidRPr="00D66795">
        <w:rPr>
          <w:rFonts w:ascii="Times New Roman" w:hAnsi="Times New Roman" w:cs="Times New Roman"/>
          <w:sz w:val="24"/>
          <w:szCs w:val="24"/>
        </w:rPr>
        <w:t>Leupane</w:t>
      </w:r>
      <w:proofErr w:type="spellEnd"/>
      <w:r w:rsidRPr="00D66795">
        <w:rPr>
          <w:rFonts w:ascii="Times New Roman" w:hAnsi="Times New Roman" w:cs="Times New Roman"/>
          <w:sz w:val="24"/>
          <w:szCs w:val="24"/>
        </w:rPr>
        <w:t xml:space="preserve"> Energy Hub). Capital requirements for full </w:t>
      </w:r>
      <w:proofErr w:type="spellStart"/>
      <w:r w:rsidRPr="00D66795">
        <w:rPr>
          <w:rFonts w:ascii="Times New Roman" w:hAnsi="Times New Roman" w:cs="Times New Roman"/>
          <w:sz w:val="24"/>
          <w:szCs w:val="24"/>
        </w:rPr>
        <w:t>commercialisation</w:t>
      </w:r>
      <w:proofErr w:type="spellEnd"/>
      <w:r w:rsidRPr="00D66795">
        <w:rPr>
          <w:rFonts w:ascii="Times New Roman" w:hAnsi="Times New Roman" w:cs="Times New Roman"/>
          <w:sz w:val="24"/>
          <w:szCs w:val="24"/>
        </w:rPr>
        <w:t xml:space="preserve"> are significant and are being approached on a phased basis so that early modules can prove concept before larger commitments.</w:t>
      </w:r>
    </w:p>
    <w:p w14:paraId="6BD5EF1F" w14:textId="77777777" w:rsidR="00EC027C" w:rsidRPr="00D66795" w:rsidRDefault="00000000">
      <w:pPr>
        <w:spacing w:before="120" w:after="60"/>
        <w:jc w:val="center"/>
        <w:rPr>
          <w:rFonts w:ascii="Times New Roman" w:hAnsi="Times New Roman" w:cs="Times New Roman"/>
          <w:sz w:val="24"/>
          <w:szCs w:val="24"/>
        </w:rPr>
      </w:pPr>
      <w:r w:rsidRPr="00D66795">
        <w:rPr>
          <w:rFonts w:ascii="Times New Roman" w:hAnsi="Times New Roman" w:cs="Times New Roman"/>
          <w:noProof/>
          <w:sz w:val="24"/>
          <w:szCs w:val="24"/>
        </w:rPr>
        <w:drawing>
          <wp:inline distT="0" distB="0" distL="0" distR="0" wp14:anchorId="37FF7B3D" wp14:editId="75688FB0">
            <wp:extent cx="4286250" cy="2486025"/>
            <wp:effectExtent l="0" t="0" r="0" b="9525"/>
            <wp:docPr id="902367229" name="Capital requirements" descr="Capital requirements" title="Capital requir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2"/>
                    <a:srcRect t="6786"/>
                    <a:stretch>
                      <a:fillRect/>
                    </a:stretch>
                  </pic:blipFill>
                  <pic:spPr bwMode="auto">
                    <a:xfrm>
                      <a:off x="0" y="0"/>
                      <a:ext cx="4286250" cy="2486025"/>
                    </a:xfrm>
                    <a:prstGeom prst="rect">
                      <a:avLst/>
                    </a:prstGeom>
                    <a:ln>
                      <a:noFill/>
                    </a:ln>
                    <a:extLst>
                      <a:ext uri="{53640926-AAD7-44D8-BBD7-CCE9431645EC}">
                        <a14:shadowObscured xmlns:a14="http://schemas.microsoft.com/office/drawing/2010/main"/>
                      </a:ext>
                    </a:extLst>
                  </pic:spPr>
                </pic:pic>
              </a:graphicData>
            </a:graphic>
          </wp:inline>
        </w:drawing>
      </w:r>
    </w:p>
    <w:p w14:paraId="09435A59" w14:textId="77777777" w:rsidR="00EC027C" w:rsidRPr="00D66795" w:rsidRDefault="00000000">
      <w:pPr>
        <w:spacing w:before="60" w:after="200"/>
        <w:jc w:val="center"/>
        <w:rPr>
          <w:rFonts w:ascii="Times New Roman" w:hAnsi="Times New Roman" w:cs="Times New Roman"/>
          <w:sz w:val="24"/>
          <w:szCs w:val="24"/>
        </w:rPr>
      </w:pPr>
      <w:r w:rsidRPr="00D66795">
        <w:rPr>
          <w:rFonts w:ascii="Times New Roman" w:hAnsi="Times New Roman" w:cs="Times New Roman"/>
          <w:sz w:val="24"/>
          <w:szCs w:val="24"/>
        </w:rPr>
        <w:t xml:space="preserve">Figure 6. Indicative capital requirements along the </w:t>
      </w:r>
      <w:proofErr w:type="spellStart"/>
      <w:r w:rsidRPr="00D66795">
        <w:rPr>
          <w:rFonts w:ascii="Times New Roman" w:hAnsi="Times New Roman" w:cs="Times New Roman"/>
          <w:sz w:val="24"/>
          <w:szCs w:val="24"/>
        </w:rPr>
        <w:t>Serowe</w:t>
      </w:r>
      <w:proofErr w:type="spellEnd"/>
      <w:r w:rsidRPr="00D66795">
        <w:rPr>
          <w:rFonts w:ascii="Times New Roman" w:hAnsi="Times New Roman" w:cs="Times New Roman"/>
          <w:sz w:val="24"/>
          <w:szCs w:val="24"/>
        </w:rPr>
        <w:t xml:space="preserve"> pathway (A$ million; company estimates and conceptual scaling).</w:t>
      </w:r>
    </w:p>
    <w:p w14:paraId="77EDB2F7" w14:textId="5115E6BE" w:rsidR="00EC027C" w:rsidRPr="00D66795" w:rsidRDefault="00000000">
      <w:pPr>
        <w:pStyle w:val="Heading1"/>
        <w:rPr>
          <w:rFonts w:ascii="Times New Roman" w:hAnsi="Times New Roman" w:cs="Times New Roman"/>
          <w:color w:val="auto"/>
          <w:sz w:val="24"/>
          <w:szCs w:val="24"/>
        </w:rPr>
      </w:pPr>
      <w:r w:rsidRPr="00D66795">
        <w:rPr>
          <w:rFonts w:ascii="Times New Roman" w:hAnsi="Times New Roman" w:cs="Times New Roman"/>
          <w:color w:val="auto"/>
          <w:sz w:val="24"/>
          <w:szCs w:val="24"/>
        </w:rPr>
        <w:t xml:space="preserve">Domestic Market and </w:t>
      </w:r>
      <w:proofErr w:type="spellStart"/>
      <w:r w:rsidRPr="00D66795">
        <w:rPr>
          <w:rFonts w:ascii="Times New Roman" w:hAnsi="Times New Roman" w:cs="Times New Roman"/>
          <w:color w:val="auto"/>
          <w:sz w:val="24"/>
          <w:szCs w:val="24"/>
        </w:rPr>
        <w:t>Commercialisation</w:t>
      </w:r>
      <w:proofErr w:type="spellEnd"/>
      <w:r w:rsidRPr="00D66795">
        <w:rPr>
          <w:rFonts w:ascii="Times New Roman" w:hAnsi="Times New Roman" w:cs="Times New Roman"/>
          <w:color w:val="auto"/>
          <w:sz w:val="24"/>
          <w:szCs w:val="24"/>
        </w:rPr>
        <w:t xml:space="preserve"> Potential</w:t>
      </w:r>
    </w:p>
    <w:p w14:paraId="74F79521" w14:textId="77777777" w:rsidR="00EC027C" w:rsidRPr="00D66795" w:rsidRDefault="00000000">
      <w:pPr>
        <w:spacing w:after="120" w:line="276" w:lineRule="auto"/>
        <w:jc w:val="both"/>
        <w:rPr>
          <w:rFonts w:ascii="Times New Roman" w:hAnsi="Times New Roman" w:cs="Times New Roman"/>
          <w:sz w:val="24"/>
          <w:szCs w:val="24"/>
        </w:rPr>
      </w:pPr>
      <w:r w:rsidRPr="00D66795">
        <w:rPr>
          <w:rFonts w:ascii="Times New Roman" w:hAnsi="Times New Roman" w:cs="Times New Roman"/>
          <w:sz w:val="24"/>
          <w:szCs w:val="24"/>
        </w:rPr>
        <w:t>Botswana’s energy mix remains heavily dependent on coal-fired generation (Morupule), imported electricity and liquid fuels. Power deficits and elevated import costs create demand for domestic gas-fired generation. Mining and emerging industrial users (including potential battery-chemicals processing) are natural anchor customers. CBM can displace diesel and imported power. Commercial viability depends on sustained well deliverability, delivered gas or LNG price competitiveness versus alternatives, and firm offtake. The Scaw LOI and BPC PPAs provide initial anchors; broader industrial demand is emerging but is not yet contracted at scale.</w:t>
      </w:r>
    </w:p>
    <w:p w14:paraId="5921064D" w14:textId="0378CF34" w:rsidR="00EC027C" w:rsidRPr="00D66795" w:rsidRDefault="00000000">
      <w:pPr>
        <w:pStyle w:val="Heading1"/>
        <w:rPr>
          <w:rFonts w:ascii="Times New Roman" w:hAnsi="Times New Roman" w:cs="Times New Roman"/>
          <w:color w:val="auto"/>
          <w:sz w:val="24"/>
          <w:szCs w:val="24"/>
        </w:rPr>
      </w:pPr>
      <w:r w:rsidRPr="00D66795">
        <w:rPr>
          <w:rFonts w:ascii="Times New Roman" w:hAnsi="Times New Roman" w:cs="Times New Roman"/>
          <w:color w:val="auto"/>
          <w:sz w:val="24"/>
          <w:szCs w:val="24"/>
        </w:rPr>
        <w:t>Regional Market and Export Opportunities</w:t>
      </w:r>
    </w:p>
    <w:p w14:paraId="62FBA6CA" w14:textId="77777777" w:rsidR="00EC027C" w:rsidRPr="00D66795" w:rsidRDefault="00000000">
      <w:pPr>
        <w:spacing w:after="120" w:line="276" w:lineRule="auto"/>
        <w:jc w:val="both"/>
        <w:rPr>
          <w:rFonts w:ascii="Times New Roman" w:hAnsi="Times New Roman" w:cs="Times New Roman"/>
          <w:sz w:val="24"/>
          <w:szCs w:val="24"/>
        </w:rPr>
      </w:pPr>
      <w:r w:rsidRPr="00D66795">
        <w:rPr>
          <w:rFonts w:ascii="Times New Roman" w:hAnsi="Times New Roman" w:cs="Times New Roman"/>
          <w:sz w:val="24"/>
          <w:szCs w:val="24"/>
        </w:rPr>
        <w:t xml:space="preserve">Southern Africa faces a projected gas supply shortfall. Modular LNG or CNG can reach South African industrial users without major new pipelines. Longer-term pipeline links into the Southern African Power Pool or regional gas networks remain conceptual and capital-intensive. Near-term opportunity therefore </w:t>
      </w:r>
      <w:proofErr w:type="spellStart"/>
      <w:r w:rsidRPr="00D66795">
        <w:rPr>
          <w:rFonts w:ascii="Times New Roman" w:hAnsi="Times New Roman" w:cs="Times New Roman"/>
          <w:sz w:val="24"/>
          <w:szCs w:val="24"/>
        </w:rPr>
        <w:t>centres</w:t>
      </w:r>
      <w:proofErr w:type="spellEnd"/>
      <w:r w:rsidRPr="00D66795">
        <w:rPr>
          <w:rFonts w:ascii="Times New Roman" w:hAnsi="Times New Roman" w:cs="Times New Roman"/>
          <w:sz w:val="24"/>
          <w:szCs w:val="24"/>
        </w:rPr>
        <w:t xml:space="preserve"> on trucked LNG/CNG into South Africa rather than large-scale pipeline export. Constraints include distance, competing supply sources and infrastructure cost.</w:t>
      </w:r>
    </w:p>
    <w:p w14:paraId="6B3A8605" w14:textId="77777777" w:rsidR="00EC027C" w:rsidRPr="00D66795" w:rsidRDefault="00000000">
      <w:pPr>
        <w:spacing w:before="120" w:after="60"/>
        <w:jc w:val="center"/>
        <w:rPr>
          <w:rFonts w:ascii="Times New Roman" w:hAnsi="Times New Roman" w:cs="Times New Roman"/>
          <w:sz w:val="24"/>
          <w:szCs w:val="24"/>
        </w:rPr>
      </w:pPr>
      <w:r w:rsidRPr="00D66795">
        <w:rPr>
          <w:rFonts w:ascii="Times New Roman" w:hAnsi="Times New Roman" w:cs="Times New Roman"/>
          <w:noProof/>
          <w:sz w:val="24"/>
          <w:szCs w:val="24"/>
        </w:rPr>
        <w:lastRenderedPageBreak/>
        <w:drawing>
          <wp:inline distT="0" distB="0" distL="0" distR="0" wp14:anchorId="1107C075" wp14:editId="1E3136A6">
            <wp:extent cx="4572000" cy="2428875"/>
            <wp:effectExtent l="0" t="0" r="0" b="9525"/>
            <wp:docPr id="1570296138" name="Market anchors" descr="Market anchors" title="Market anch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3"/>
                    <a:srcRect t="5555"/>
                    <a:stretch>
                      <a:fillRect/>
                    </a:stretch>
                  </pic:blipFill>
                  <pic:spPr bwMode="auto">
                    <a:xfrm>
                      <a:off x="0" y="0"/>
                      <a:ext cx="4572000" cy="2428875"/>
                    </a:xfrm>
                    <a:prstGeom prst="rect">
                      <a:avLst/>
                    </a:prstGeom>
                    <a:ln>
                      <a:noFill/>
                    </a:ln>
                    <a:extLst>
                      <a:ext uri="{53640926-AAD7-44D8-BBD7-CCE9431645EC}">
                        <a14:shadowObscured xmlns:a14="http://schemas.microsoft.com/office/drawing/2010/main"/>
                      </a:ext>
                    </a:extLst>
                  </pic:spPr>
                </pic:pic>
              </a:graphicData>
            </a:graphic>
          </wp:inline>
        </w:drawing>
      </w:r>
    </w:p>
    <w:p w14:paraId="3F346A93" w14:textId="77777777" w:rsidR="00EC027C" w:rsidRPr="00D66795" w:rsidRDefault="00000000">
      <w:pPr>
        <w:spacing w:before="60" w:after="200"/>
        <w:jc w:val="center"/>
        <w:rPr>
          <w:rFonts w:ascii="Times New Roman" w:hAnsi="Times New Roman" w:cs="Times New Roman"/>
          <w:sz w:val="24"/>
          <w:szCs w:val="24"/>
        </w:rPr>
      </w:pPr>
      <w:r w:rsidRPr="000960FB">
        <w:rPr>
          <w:rFonts w:ascii="Times New Roman" w:hAnsi="Times New Roman" w:cs="Times New Roman"/>
          <w:sz w:val="24"/>
          <w:szCs w:val="24"/>
        </w:rPr>
        <w:t>Figure 7. Near-term CBM market anchors and illustrative potential (PJ-equivalent).</w:t>
      </w:r>
    </w:p>
    <w:p w14:paraId="58E94D83" w14:textId="3EEA20F9" w:rsidR="00EC027C" w:rsidRPr="00D66795" w:rsidRDefault="00000000">
      <w:pPr>
        <w:pStyle w:val="Heading1"/>
        <w:rPr>
          <w:rFonts w:ascii="Times New Roman" w:hAnsi="Times New Roman" w:cs="Times New Roman"/>
          <w:color w:val="auto"/>
          <w:sz w:val="24"/>
          <w:szCs w:val="24"/>
        </w:rPr>
      </w:pPr>
      <w:r w:rsidRPr="00D66795">
        <w:rPr>
          <w:rFonts w:ascii="Times New Roman" w:hAnsi="Times New Roman" w:cs="Times New Roman"/>
          <w:color w:val="auto"/>
          <w:sz w:val="24"/>
          <w:szCs w:val="24"/>
        </w:rPr>
        <w:t>Financing and Investment Environment</w:t>
      </w:r>
    </w:p>
    <w:p w14:paraId="094F78B4" w14:textId="77777777" w:rsidR="00EC027C" w:rsidRPr="00D66795" w:rsidRDefault="00000000">
      <w:pPr>
        <w:spacing w:after="120" w:line="276" w:lineRule="auto"/>
        <w:jc w:val="both"/>
        <w:rPr>
          <w:rFonts w:ascii="Times New Roman" w:hAnsi="Times New Roman" w:cs="Times New Roman"/>
          <w:sz w:val="24"/>
          <w:szCs w:val="24"/>
        </w:rPr>
      </w:pPr>
      <w:r w:rsidRPr="00D66795">
        <w:rPr>
          <w:rFonts w:ascii="Times New Roman" w:hAnsi="Times New Roman" w:cs="Times New Roman"/>
          <w:sz w:val="24"/>
          <w:szCs w:val="24"/>
        </w:rPr>
        <w:t xml:space="preserve">Funding to date has consisted primarily of equity raised on the ASX and BSE, supplemented by the proposed state equity injection. Development finance institutions, commercial banks and strategic </w:t>
      </w:r>
      <w:proofErr w:type="spellStart"/>
      <w:r w:rsidRPr="00D66795">
        <w:rPr>
          <w:rFonts w:ascii="Times New Roman" w:hAnsi="Times New Roman" w:cs="Times New Roman"/>
          <w:sz w:val="24"/>
          <w:szCs w:val="24"/>
        </w:rPr>
        <w:t>offtakers</w:t>
      </w:r>
      <w:proofErr w:type="spellEnd"/>
      <w:r w:rsidRPr="00D66795">
        <w:rPr>
          <w:rFonts w:ascii="Times New Roman" w:hAnsi="Times New Roman" w:cs="Times New Roman"/>
          <w:sz w:val="24"/>
          <w:szCs w:val="24"/>
        </w:rPr>
        <w:t xml:space="preserve"> are potential sources once reserves and cash-flow visibility improve. Key challenges include resource-to-reserve conversion risk, infrastructure funding requirements, offtake tenor and commodity-price exposure. The MDCB term sheet constitutes a positive signal of government alignment. Full FID financing for </w:t>
      </w:r>
      <w:proofErr w:type="spellStart"/>
      <w:r w:rsidRPr="00D66795">
        <w:rPr>
          <w:rFonts w:ascii="Times New Roman" w:hAnsi="Times New Roman" w:cs="Times New Roman"/>
          <w:sz w:val="24"/>
          <w:szCs w:val="24"/>
        </w:rPr>
        <w:t>Serowe</w:t>
      </w:r>
      <w:proofErr w:type="spellEnd"/>
      <w:r w:rsidRPr="00D66795">
        <w:rPr>
          <w:rFonts w:ascii="Times New Roman" w:hAnsi="Times New Roman" w:cs="Times New Roman"/>
          <w:sz w:val="24"/>
          <w:szCs w:val="24"/>
        </w:rPr>
        <w:t xml:space="preserve"> is expected to require a blend of equity, debt and possibly </w:t>
      </w:r>
      <w:proofErr w:type="spellStart"/>
      <w:r w:rsidRPr="00D66795">
        <w:rPr>
          <w:rFonts w:ascii="Times New Roman" w:hAnsi="Times New Roman" w:cs="Times New Roman"/>
          <w:sz w:val="24"/>
          <w:szCs w:val="24"/>
        </w:rPr>
        <w:t>offtaker</w:t>
      </w:r>
      <w:proofErr w:type="spellEnd"/>
      <w:r w:rsidRPr="00D66795">
        <w:rPr>
          <w:rFonts w:ascii="Times New Roman" w:hAnsi="Times New Roman" w:cs="Times New Roman"/>
          <w:sz w:val="24"/>
          <w:szCs w:val="24"/>
        </w:rPr>
        <w:t xml:space="preserve"> or vendor financing for modular plant.</w:t>
      </w:r>
    </w:p>
    <w:p w14:paraId="48D64A43" w14:textId="36FFD5C3" w:rsidR="00EC027C" w:rsidRPr="00D66795" w:rsidRDefault="00000000">
      <w:pPr>
        <w:pStyle w:val="Heading1"/>
        <w:rPr>
          <w:rFonts w:ascii="Times New Roman" w:hAnsi="Times New Roman" w:cs="Times New Roman"/>
          <w:color w:val="auto"/>
          <w:sz w:val="24"/>
          <w:szCs w:val="24"/>
        </w:rPr>
      </w:pPr>
      <w:r w:rsidRPr="00D66795">
        <w:rPr>
          <w:rFonts w:ascii="Times New Roman" w:hAnsi="Times New Roman" w:cs="Times New Roman"/>
          <w:color w:val="auto"/>
          <w:sz w:val="24"/>
          <w:szCs w:val="24"/>
        </w:rPr>
        <w:t>Investment Risks and Constraints</w:t>
      </w:r>
    </w:p>
    <w:p w14:paraId="409A9289" w14:textId="77777777" w:rsidR="00EC027C" w:rsidRPr="00D66795" w:rsidRDefault="00000000">
      <w:pPr>
        <w:spacing w:after="120" w:line="276" w:lineRule="auto"/>
        <w:jc w:val="both"/>
        <w:rPr>
          <w:rFonts w:ascii="Times New Roman" w:hAnsi="Times New Roman" w:cs="Times New Roman"/>
          <w:sz w:val="24"/>
          <w:szCs w:val="24"/>
        </w:rPr>
      </w:pPr>
      <w:r w:rsidRPr="00D66795">
        <w:rPr>
          <w:rFonts w:ascii="Times New Roman" w:hAnsi="Times New Roman" w:cs="Times New Roman"/>
          <w:sz w:val="24"/>
          <w:szCs w:val="24"/>
        </w:rPr>
        <w:t>Principal risk categories and current assessment:</w:t>
      </w:r>
    </w:p>
    <w:p w14:paraId="04F46C83" w14:textId="77777777" w:rsidR="00EC027C" w:rsidRPr="00D66795" w:rsidRDefault="00000000">
      <w:pPr>
        <w:pStyle w:val="ListParagraph"/>
        <w:numPr>
          <w:ilvl w:val="0"/>
          <w:numId w:val="2"/>
        </w:numPr>
        <w:spacing w:after="80" w:line="276" w:lineRule="auto"/>
        <w:rPr>
          <w:rFonts w:ascii="Times New Roman" w:hAnsi="Times New Roman" w:cs="Times New Roman"/>
          <w:sz w:val="24"/>
          <w:szCs w:val="24"/>
        </w:rPr>
      </w:pPr>
      <w:r w:rsidRPr="00D66795">
        <w:rPr>
          <w:rFonts w:ascii="Times New Roman" w:hAnsi="Times New Roman" w:cs="Times New Roman"/>
          <w:sz w:val="24"/>
          <w:szCs w:val="24"/>
        </w:rPr>
        <w:t>Geological and resource risk – Contingent resources require commercial flow rates for reserve booking. Early continuous flow at Serowe-3.5B is encouraging but extended testing is required (</w:t>
      </w:r>
      <w:proofErr w:type="spellStart"/>
      <w:r w:rsidRPr="00D66795">
        <w:rPr>
          <w:rFonts w:ascii="Times New Roman" w:hAnsi="Times New Roman" w:cs="Times New Roman"/>
          <w:sz w:val="24"/>
          <w:szCs w:val="24"/>
        </w:rPr>
        <w:t>Botala</w:t>
      </w:r>
      <w:proofErr w:type="spellEnd"/>
      <w:r w:rsidRPr="00D66795">
        <w:rPr>
          <w:rFonts w:ascii="Times New Roman" w:hAnsi="Times New Roman" w:cs="Times New Roman"/>
          <w:sz w:val="24"/>
          <w:szCs w:val="24"/>
        </w:rPr>
        <w:t xml:space="preserve"> Energy, 2026a).</w:t>
      </w:r>
    </w:p>
    <w:p w14:paraId="2FF38FCB" w14:textId="77777777" w:rsidR="00EC027C" w:rsidRPr="00D66795" w:rsidRDefault="00000000">
      <w:pPr>
        <w:pStyle w:val="ListParagraph"/>
        <w:numPr>
          <w:ilvl w:val="0"/>
          <w:numId w:val="2"/>
        </w:numPr>
        <w:spacing w:after="80" w:line="276" w:lineRule="auto"/>
        <w:rPr>
          <w:rFonts w:ascii="Times New Roman" w:hAnsi="Times New Roman" w:cs="Times New Roman"/>
          <w:sz w:val="24"/>
          <w:szCs w:val="24"/>
        </w:rPr>
      </w:pPr>
      <w:r w:rsidRPr="00D66795">
        <w:rPr>
          <w:rFonts w:ascii="Times New Roman" w:hAnsi="Times New Roman" w:cs="Times New Roman"/>
          <w:sz w:val="24"/>
          <w:szCs w:val="24"/>
        </w:rPr>
        <w:t>Technical and operational risk – Dewatering performance, stimulation effectiveness and produced-water management.</w:t>
      </w:r>
    </w:p>
    <w:p w14:paraId="2DE02D0C" w14:textId="77777777" w:rsidR="00EC027C" w:rsidRPr="00D66795" w:rsidRDefault="00000000">
      <w:pPr>
        <w:pStyle w:val="ListParagraph"/>
        <w:numPr>
          <w:ilvl w:val="0"/>
          <w:numId w:val="2"/>
        </w:numPr>
        <w:spacing w:after="80" w:line="276" w:lineRule="auto"/>
        <w:rPr>
          <w:rFonts w:ascii="Times New Roman" w:hAnsi="Times New Roman" w:cs="Times New Roman"/>
          <w:sz w:val="24"/>
          <w:szCs w:val="24"/>
        </w:rPr>
      </w:pPr>
      <w:r w:rsidRPr="00D66795">
        <w:rPr>
          <w:rFonts w:ascii="Times New Roman" w:hAnsi="Times New Roman" w:cs="Times New Roman"/>
          <w:sz w:val="24"/>
          <w:szCs w:val="24"/>
        </w:rPr>
        <w:t>Infrastructure constraints – Limited shared midstream infrastructure; reliance on modular and trucked solutions.</w:t>
      </w:r>
    </w:p>
    <w:p w14:paraId="0C2CF815" w14:textId="77777777" w:rsidR="00EC027C" w:rsidRPr="00D66795" w:rsidRDefault="00000000">
      <w:pPr>
        <w:pStyle w:val="ListParagraph"/>
        <w:numPr>
          <w:ilvl w:val="0"/>
          <w:numId w:val="2"/>
        </w:numPr>
        <w:spacing w:after="80" w:line="276" w:lineRule="auto"/>
        <w:rPr>
          <w:rFonts w:ascii="Times New Roman" w:hAnsi="Times New Roman" w:cs="Times New Roman"/>
          <w:sz w:val="24"/>
          <w:szCs w:val="24"/>
        </w:rPr>
      </w:pPr>
      <w:r w:rsidRPr="00D66795">
        <w:rPr>
          <w:rFonts w:ascii="Times New Roman" w:hAnsi="Times New Roman" w:cs="Times New Roman"/>
          <w:sz w:val="24"/>
          <w:szCs w:val="24"/>
        </w:rPr>
        <w:t>Market and offtake risk – Dependence on a limited number of initial contracts; competition from coal, solar and imports.</w:t>
      </w:r>
    </w:p>
    <w:p w14:paraId="3436057C" w14:textId="77777777" w:rsidR="00EC027C" w:rsidRPr="00D66795" w:rsidRDefault="00000000">
      <w:pPr>
        <w:pStyle w:val="ListParagraph"/>
        <w:numPr>
          <w:ilvl w:val="0"/>
          <w:numId w:val="2"/>
        </w:numPr>
        <w:spacing w:after="80" w:line="276" w:lineRule="auto"/>
        <w:rPr>
          <w:rFonts w:ascii="Times New Roman" w:hAnsi="Times New Roman" w:cs="Times New Roman"/>
          <w:sz w:val="24"/>
          <w:szCs w:val="24"/>
        </w:rPr>
      </w:pPr>
      <w:r w:rsidRPr="00D66795">
        <w:rPr>
          <w:rFonts w:ascii="Times New Roman" w:hAnsi="Times New Roman" w:cs="Times New Roman"/>
          <w:sz w:val="24"/>
          <w:szCs w:val="24"/>
        </w:rPr>
        <w:t>Financing risk – Junior-developer balance sheets and the need for project-level capital at FID.</w:t>
      </w:r>
    </w:p>
    <w:p w14:paraId="177D474E" w14:textId="77777777" w:rsidR="00EC027C" w:rsidRPr="00D66795" w:rsidRDefault="00000000">
      <w:pPr>
        <w:pStyle w:val="ListParagraph"/>
        <w:numPr>
          <w:ilvl w:val="0"/>
          <w:numId w:val="2"/>
        </w:numPr>
        <w:spacing w:after="80" w:line="276" w:lineRule="auto"/>
        <w:rPr>
          <w:rFonts w:ascii="Times New Roman" w:hAnsi="Times New Roman" w:cs="Times New Roman"/>
          <w:sz w:val="24"/>
          <w:szCs w:val="24"/>
        </w:rPr>
      </w:pPr>
      <w:r w:rsidRPr="00D66795">
        <w:rPr>
          <w:rFonts w:ascii="Times New Roman" w:hAnsi="Times New Roman" w:cs="Times New Roman"/>
          <w:sz w:val="24"/>
          <w:szCs w:val="24"/>
        </w:rPr>
        <w:lastRenderedPageBreak/>
        <w:t>Regulatory risk – Evolving gas-market rules and local-content/ownership provisions (Botswana Government, 2024).</w:t>
      </w:r>
    </w:p>
    <w:p w14:paraId="3C254C55" w14:textId="77777777" w:rsidR="00EC027C" w:rsidRPr="00D66795" w:rsidRDefault="00000000">
      <w:pPr>
        <w:pStyle w:val="ListParagraph"/>
        <w:numPr>
          <w:ilvl w:val="0"/>
          <w:numId w:val="2"/>
        </w:numPr>
        <w:spacing w:after="80" w:line="276" w:lineRule="auto"/>
        <w:rPr>
          <w:rFonts w:ascii="Times New Roman" w:hAnsi="Times New Roman" w:cs="Times New Roman"/>
          <w:sz w:val="24"/>
          <w:szCs w:val="24"/>
        </w:rPr>
      </w:pPr>
      <w:r w:rsidRPr="00D66795">
        <w:rPr>
          <w:rFonts w:ascii="Times New Roman" w:hAnsi="Times New Roman" w:cs="Times New Roman"/>
          <w:sz w:val="24"/>
          <w:szCs w:val="24"/>
        </w:rPr>
        <w:t>Commodity-price and regional market risk – Exposure to gas and power price movements and competing regional supply.</w:t>
      </w:r>
    </w:p>
    <w:p w14:paraId="7DEE4047" w14:textId="77777777" w:rsidR="00EC027C" w:rsidRPr="00D66795" w:rsidRDefault="00000000">
      <w:pPr>
        <w:pStyle w:val="ListParagraph"/>
        <w:numPr>
          <w:ilvl w:val="0"/>
          <w:numId w:val="2"/>
        </w:numPr>
        <w:spacing w:after="80" w:line="276" w:lineRule="auto"/>
        <w:rPr>
          <w:rFonts w:ascii="Times New Roman" w:hAnsi="Times New Roman" w:cs="Times New Roman"/>
          <w:sz w:val="24"/>
          <w:szCs w:val="24"/>
        </w:rPr>
      </w:pPr>
      <w:r w:rsidRPr="00D66795">
        <w:rPr>
          <w:rFonts w:ascii="Times New Roman" w:hAnsi="Times New Roman" w:cs="Times New Roman"/>
          <w:sz w:val="24"/>
          <w:szCs w:val="24"/>
        </w:rPr>
        <w:t>Environmental and social considerations – Water use, land access and residual greenhouse-gas intensity.</w:t>
      </w:r>
    </w:p>
    <w:p w14:paraId="3824D71C" w14:textId="77777777" w:rsidR="00EC027C" w:rsidRPr="00D66795" w:rsidRDefault="00000000">
      <w:pPr>
        <w:spacing w:after="120" w:line="276" w:lineRule="auto"/>
        <w:jc w:val="both"/>
        <w:rPr>
          <w:rFonts w:ascii="Times New Roman" w:hAnsi="Times New Roman" w:cs="Times New Roman"/>
          <w:sz w:val="24"/>
          <w:szCs w:val="24"/>
        </w:rPr>
      </w:pPr>
      <w:r w:rsidRPr="00D66795">
        <w:rPr>
          <w:rFonts w:ascii="Times New Roman" w:hAnsi="Times New Roman" w:cs="Times New Roman"/>
          <w:sz w:val="24"/>
          <w:szCs w:val="24"/>
        </w:rPr>
        <w:t xml:space="preserve">Demonstrated risks currently </w:t>
      </w:r>
      <w:proofErr w:type="spellStart"/>
      <w:r w:rsidRPr="00D66795">
        <w:rPr>
          <w:rFonts w:ascii="Times New Roman" w:hAnsi="Times New Roman" w:cs="Times New Roman"/>
          <w:sz w:val="24"/>
          <w:szCs w:val="24"/>
        </w:rPr>
        <w:t>centre</w:t>
      </w:r>
      <w:proofErr w:type="spellEnd"/>
      <w:r w:rsidRPr="00D66795">
        <w:rPr>
          <w:rFonts w:ascii="Times New Roman" w:hAnsi="Times New Roman" w:cs="Times New Roman"/>
          <w:sz w:val="24"/>
          <w:szCs w:val="24"/>
        </w:rPr>
        <w:t xml:space="preserve"> on the pilot-to-commercial conversion step. Many other risks remain contingent on execution outcomes.</w:t>
      </w:r>
    </w:p>
    <w:p w14:paraId="785D15A0" w14:textId="2FCDC7D2" w:rsidR="00EC027C" w:rsidRPr="00D66795" w:rsidRDefault="00000000">
      <w:pPr>
        <w:pStyle w:val="Heading1"/>
        <w:rPr>
          <w:rFonts w:ascii="Times New Roman" w:hAnsi="Times New Roman" w:cs="Times New Roman"/>
          <w:color w:val="auto"/>
          <w:sz w:val="24"/>
          <w:szCs w:val="24"/>
        </w:rPr>
      </w:pPr>
      <w:r w:rsidRPr="00D66795">
        <w:rPr>
          <w:rFonts w:ascii="Times New Roman" w:hAnsi="Times New Roman" w:cs="Times New Roman"/>
          <w:color w:val="auto"/>
          <w:sz w:val="24"/>
          <w:szCs w:val="24"/>
        </w:rPr>
        <w:t>Investment Opportunities</w:t>
      </w:r>
    </w:p>
    <w:p w14:paraId="26138DC4" w14:textId="77777777" w:rsidR="00EC027C" w:rsidRPr="00D66795" w:rsidRDefault="00000000">
      <w:pPr>
        <w:spacing w:after="120" w:line="276" w:lineRule="auto"/>
        <w:jc w:val="both"/>
        <w:rPr>
          <w:rFonts w:ascii="Times New Roman" w:hAnsi="Times New Roman" w:cs="Times New Roman"/>
          <w:sz w:val="24"/>
          <w:szCs w:val="24"/>
        </w:rPr>
      </w:pPr>
      <w:r w:rsidRPr="00D66795">
        <w:rPr>
          <w:rFonts w:ascii="Times New Roman" w:hAnsi="Times New Roman" w:cs="Times New Roman"/>
          <w:sz w:val="24"/>
          <w:szCs w:val="24"/>
        </w:rPr>
        <w:t>Specific areas across the value chain where opportunities may emerge, subject to successful pilot results and offtake:</w:t>
      </w:r>
    </w:p>
    <w:p w14:paraId="57326EBF" w14:textId="77777777" w:rsidR="00EC027C" w:rsidRPr="00D66795" w:rsidRDefault="00000000">
      <w:pPr>
        <w:pStyle w:val="ListParagraph"/>
        <w:numPr>
          <w:ilvl w:val="0"/>
          <w:numId w:val="2"/>
        </w:numPr>
        <w:spacing w:after="80" w:line="276" w:lineRule="auto"/>
        <w:rPr>
          <w:rFonts w:ascii="Times New Roman" w:hAnsi="Times New Roman" w:cs="Times New Roman"/>
          <w:sz w:val="24"/>
          <w:szCs w:val="24"/>
        </w:rPr>
      </w:pPr>
      <w:r w:rsidRPr="00D66795">
        <w:rPr>
          <w:rFonts w:ascii="Times New Roman" w:hAnsi="Times New Roman" w:cs="Times New Roman"/>
          <w:sz w:val="24"/>
          <w:szCs w:val="24"/>
        </w:rPr>
        <w:t>Further exploration and appraisal of undrilled acreage (resource upside).</w:t>
      </w:r>
    </w:p>
    <w:p w14:paraId="44CF675C" w14:textId="77777777" w:rsidR="00EC027C" w:rsidRPr="00D66795" w:rsidRDefault="00000000">
      <w:pPr>
        <w:pStyle w:val="ListParagraph"/>
        <w:numPr>
          <w:ilvl w:val="0"/>
          <w:numId w:val="2"/>
        </w:numPr>
        <w:spacing w:after="80" w:line="276" w:lineRule="auto"/>
        <w:rPr>
          <w:rFonts w:ascii="Times New Roman" w:hAnsi="Times New Roman" w:cs="Times New Roman"/>
          <w:sz w:val="24"/>
          <w:szCs w:val="24"/>
        </w:rPr>
      </w:pPr>
      <w:r w:rsidRPr="00D66795">
        <w:rPr>
          <w:rFonts w:ascii="Times New Roman" w:hAnsi="Times New Roman" w:cs="Times New Roman"/>
          <w:sz w:val="24"/>
          <w:szCs w:val="24"/>
        </w:rPr>
        <w:t>Gas production and modular processing / mini-LNG facilities.</w:t>
      </w:r>
    </w:p>
    <w:p w14:paraId="63BD0352" w14:textId="77777777" w:rsidR="00EC027C" w:rsidRPr="00D66795" w:rsidRDefault="00000000">
      <w:pPr>
        <w:pStyle w:val="ListParagraph"/>
        <w:numPr>
          <w:ilvl w:val="0"/>
          <w:numId w:val="2"/>
        </w:numPr>
        <w:spacing w:after="80" w:line="276" w:lineRule="auto"/>
        <w:rPr>
          <w:rFonts w:ascii="Times New Roman" w:hAnsi="Times New Roman" w:cs="Times New Roman"/>
          <w:sz w:val="24"/>
          <w:szCs w:val="24"/>
        </w:rPr>
      </w:pPr>
      <w:r w:rsidRPr="00D66795">
        <w:rPr>
          <w:rFonts w:ascii="Times New Roman" w:hAnsi="Times New Roman" w:cs="Times New Roman"/>
          <w:sz w:val="24"/>
          <w:szCs w:val="24"/>
        </w:rPr>
        <w:t>Gas-to-power (BPC tenders and private generation).</w:t>
      </w:r>
    </w:p>
    <w:p w14:paraId="653544E4" w14:textId="77777777" w:rsidR="00EC027C" w:rsidRPr="00D66795" w:rsidRDefault="00000000">
      <w:pPr>
        <w:pStyle w:val="ListParagraph"/>
        <w:numPr>
          <w:ilvl w:val="0"/>
          <w:numId w:val="2"/>
        </w:numPr>
        <w:spacing w:after="80" w:line="276" w:lineRule="auto"/>
        <w:rPr>
          <w:rFonts w:ascii="Times New Roman" w:hAnsi="Times New Roman" w:cs="Times New Roman"/>
          <w:sz w:val="24"/>
          <w:szCs w:val="24"/>
        </w:rPr>
      </w:pPr>
      <w:r w:rsidRPr="00D66795">
        <w:rPr>
          <w:rFonts w:ascii="Times New Roman" w:hAnsi="Times New Roman" w:cs="Times New Roman"/>
          <w:sz w:val="24"/>
          <w:szCs w:val="24"/>
        </w:rPr>
        <w:t>Industrial fuel supply and CNG logistics.</w:t>
      </w:r>
    </w:p>
    <w:p w14:paraId="47A0D271" w14:textId="77777777" w:rsidR="00EC027C" w:rsidRPr="00D66795" w:rsidRDefault="00000000">
      <w:pPr>
        <w:pStyle w:val="ListParagraph"/>
        <w:numPr>
          <w:ilvl w:val="0"/>
          <w:numId w:val="2"/>
        </w:numPr>
        <w:spacing w:after="80" w:line="276" w:lineRule="auto"/>
        <w:rPr>
          <w:rFonts w:ascii="Times New Roman" w:hAnsi="Times New Roman" w:cs="Times New Roman"/>
          <w:sz w:val="24"/>
          <w:szCs w:val="24"/>
        </w:rPr>
      </w:pPr>
      <w:r w:rsidRPr="00D66795">
        <w:rPr>
          <w:rFonts w:ascii="Times New Roman" w:hAnsi="Times New Roman" w:cs="Times New Roman"/>
          <w:sz w:val="24"/>
          <w:szCs w:val="24"/>
        </w:rPr>
        <w:t>Supporting infrastructure (gathering, compression, water handling).</w:t>
      </w:r>
    </w:p>
    <w:p w14:paraId="7FB61D4D" w14:textId="77777777" w:rsidR="00EC027C" w:rsidRPr="00D66795" w:rsidRDefault="00000000">
      <w:pPr>
        <w:pStyle w:val="ListParagraph"/>
        <w:numPr>
          <w:ilvl w:val="0"/>
          <w:numId w:val="2"/>
        </w:numPr>
        <w:spacing w:after="80" w:line="276" w:lineRule="auto"/>
        <w:rPr>
          <w:rFonts w:ascii="Times New Roman" w:hAnsi="Times New Roman" w:cs="Times New Roman"/>
          <w:sz w:val="24"/>
          <w:szCs w:val="24"/>
        </w:rPr>
      </w:pPr>
      <w:r w:rsidRPr="00D66795">
        <w:rPr>
          <w:rFonts w:ascii="Times New Roman" w:hAnsi="Times New Roman" w:cs="Times New Roman"/>
          <w:sz w:val="24"/>
          <w:szCs w:val="24"/>
        </w:rPr>
        <w:t>Technology and services (stimulation, reservoir monitoring, modular plant).</w:t>
      </w:r>
    </w:p>
    <w:p w14:paraId="088F1487" w14:textId="77777777" w:rsidR="00EC027C" w:rsidRPr="00D66795" w:rsidRDefault="00000000">
      <w:pPr>
        <w:pStyle w:val="ListParagraph"/>
        <w:numPr>
          <w:ilvl w:val="0"/>
          <w:numId w:val="2"/>
        </w:numPr>
        <w:spacing w:after="80" w:line="276" w:lineRule="auto"/>
        <w:rPr>
          <w:rFonts w:ascii="Times New Roman" w:hAnsi="Times New Roman" w:cs="Times New Roman"/>
          <w:sz w:val="24"/>
          <w:szCs w:val="24"/>
        </w:rPr>
      </w:pPr>
      <w:r w:rsidRPr="00D66795">
        <w:rPr>
          <w:rFonts w:ascii="Times New Roman" w:hAnsi="Times New Roman" w:cs="Times New Roman"/>
          <w:sz w:val="24"/>
          <w:szCs w:val="24"/>
        </w:rPr>
        <w:t>Hybrid energy hubs linking CBM with solar and industrial parks.</w:t>
      </w:r>
    </w:p>
    <w:p w14:paraId="741334C4" w14:textId="77777777" w:rsidR="00EC027C" w:rsidRPr="00D66795" w:rsidRDefault="00000000">
      <w:pPr>
        <w:spacing w:after="120" w:line="276" w:lineRule="auto"/>
        <w:jc w:val="both"/>
        <w:rPr>
          <w:rFonts w:ascii="Times New Roman" w:hAnsi="Times New Roman" w:cs="Times New Roman"/>
          <w:sz w:val="24"/>
          <w:szCs w:val="24"/>
        </w:rPr>
      </w:pPr>
      <w:r w:rsidRPr="00D66795">
        <w:rPr>
          <w:rFonts w:ascii="Times New Roman" w:hAnsi="Times New Roman" w:cs="Times New Roman"/>
          <w:sz w:val="24"/>
          <w:szCs w:val="24"/>
        </w:rPr>
        <w:t>Each opportunity becomes commercially viable only after demonstration of sustained commercial flow rates, secure offtake and access to development capital.</w:t>
      </w:r>
    </w:p>
    <w:p w14:paraId="1FDC261C" w14:textId="180E6161" w:rsidR="00EC027C" w:rsidRPr="00D66795" w:rsidRDefault="00000000">
      <w:pPr>
        <w:pStyle w:val="Heading1"/>
        <w:rPr>
          <w:rFonts w:ascii="Times New Roman" w:hAnsi="Times New Roman" w:cs="Times New Roman"/>
          <w:color w:val="auto"/>
          <w:sz w:val="24"/>
          <w:szCs w:val="24"/>
        </w:rPr>
      </w:pPr>
      <w:r w:rsidRPr="00D66795">
        <w:rPr>
          <w:rFonts w:ascii="Times New Roman" w:hAnsi="Times New Roman" w:cs="Times New Roman"/>
          <w:color w:val="auto"/>
          <w:sz w:val="24"/>
          <w:szCs w:val="24"/>
        </w:rPr>
        <w:t>Outlook and Key Intelligence Indicators</w:t>
      </w:r>
    </w:p>
    <w:p w14:paraId="5BAED105" w14:textId="5DD0DF2E" w:rsidR="00EC027C" w:rsidRPr="00D66795" w:rsidRDefault="00000000">
      <w:pPr>
        <w:spacing w:after="120" w:line="276" w:lineRule="auto"/>
        <w:jc w:val="both"/>
        <w:rPr>
          <w:rFonts w:ascii="Times New Roman" w:hAnsi="Times New Roman" w:cs="Times New Roman"/>
          <w:sz w:val="24"/>
          <w:szCs w:val="24"/>
        </w:rPr>
      </w:pPr>
      <w:r w:rsidRPr="00D66795">
        <w:rPr>
          <w:rFonts w:ascii="Times New Roman" w:hAnsi="Times New Roman" w:cs="Times New Roman"/>
          <w:sz w:val="24"/>
          <w:szCs w:val="24"/>
        </w:rPr>
        <w:t xml:space="preserve">The trajectory is cautiously positive. Early gas flow at </w:t>
      </w:r>
      <w:proofErr w:type="spellStart"/>
      <w:r w:rsidRPr="00D66795">
        <w:rPr>
          <w:rFonts w:ascii="Times New Roman" w:hAnsi="Times New Roman" w:cs="Times New Roman"/>
          <w:sz w:val="24"/>
          <w:szCs w:val="24"/>
        </w:rPr>
        <w:t>Serowe</w:t>
      </w:r>
      <w:proofErr w:type="spellEnd"/>
      <w:r w:rsidRPr="00D66795">
        <w:rPr>
          <w:rFonts w:ascii="Times New Roman" w:hAnsi="Times New Roman" w:cs="Times New Roman"/>
          <w:sz w:val="24"/>
          <w:szCs w:val="24"/>
        </w:rPr>
        <w:t xml:space="preserve">, government co-investment and offtake agreements mark a transition from exploration to pilot </w:t>
      </w:r>
      <w:r w:rsidR="000960FB" w:rsidRPr="00D66795">
        <w:rPr>
          <w:rFonts w:ascii="Times New Roman" w:hAnsi="Times New Roman" w:cs="Times New Roman"/>
          <w:sz w:val="24"/>
          <w:szCs w:val="24"/>
        </w:rPr>
        <w:t>commercialization</w:t>
      </w:r>
      <w:r w:rsidRPr="00D66795">
        <w:rPr>
          <w:rFonts w:ascii="Times New Roman" w:hAnsi="Times New Roman" w:cs="Times New Roman"/>
          <w:sz w:val="24"/>
          <w:szCs w:val="24"/>
        </w:rPr>
        <w:t>. Commercial production of LNG or power before the end of 2027 is plausible if flow rates are sustained and FID plus financing close in 2026.</w:t>
      </w:r>
    </w:p>
    <w:p w14:paraId="5C958648" w14:textId="77777777" w:rsidR="00EC027C" w:rsidRPr="00D66795" w:rsidRDefault="00000000">
      <w:pPr>
        <w:spacing w:after="120" w:line="276" w:lineRule="auto"/>
        <w:jc w:val="both"/>
        <w:rPr>
          <w:rFonts w:ascii="Times New Roman" w:hAnsi="Times New Roman" w:cs="Times New Roman"/>
          <w:sz w:val="24"/>
          <w:szCs w:val="24"/>
        </w:rPr>
      </w:pPr>
      <w:r w:rsidRPr="00D66795">
        <w:rPr>
          <w:rFonts w:ascii="Times New Roman" w:hAnsi="Times New Roman" w:cs="Times New Roman"/>
          <w:sz w:val="24"/>
          <w:szCs w:val="24"/>
        </w:rPr>
        <w:t>Factors that could accelerate development include positive extended flow-test results, timely FID, successful financing, additional offtake contracts and BPC pilot awards. Factors that could delay development include disappointing well performance, financing shortfalls, infrastructure or regulatory bottlenecks, and weaker regional gas prices.</w:t>
      </w:r>
    </w:p>
    <w:p w14:paraId="6F4D4D59" w14:textId="77777777" w:rsidR="00EC027C" w:rsidRPr="00D66795" w:rsidRDefault="00000000">
      <w:pPr>
        <w:spacing w:after="120" w:line="276" w:lineRule="auto"/>
        <w:jc w:val="both"/>
        <w:rPr>
          <w:rFonts w:ascii="Times New Roman" w:hAnsi="Times New Roman" w:cs="Times New Roman"/>
          <w:sz w:val="24"/>
          <w:szCs w:val="24"/>
        </w:rPr>
      </w:pPr>
      <w:r w:rsidRPr="00D66795">
        <w:rPr>
          <w:rFonts w:ascii="Times New Roman" w:hAnsi="Times New Roman" w:cs="Times New Roman"/>
          <w:sz w:val="24"/>
          <w:szCs w:val="24"/>
        </w:rPr>
        <w:t xml:space="preserve">Investors and stakeholders should monitor: </w:t>
      </w:r>
      <w:proofErr w:type="spellStart"/>
      <w:r w:rsidRPr="00D66795">
        <w:rPr>
          <w:rFonts w:ascii="Times New Roman" w:hAnsi="Times New Roman" w:cs="Times New Roman"/>
          <w:sz w:val="24"/>
          <w:szCs w:val="24"/>
        </w:rPr>
        <w:t>Botala’s</w:t>
      </w:r>
      <w:proofErr w:type="spellEnd"/>
      <w:r w:rsidRPr="00D66795">
        <w:rPr>
          <w:rFonts w:ascii="Times New Roman" w:hAnsi="Times New Roman" w:cs="Times New Roman"/>
          <w:sz w:val="24"/>
          <w:szCs w:val="24"/>
        </w:rPr>
        <w:t xml:space="preserve"> 90-day extended flow-test results and any independent resource-to-reserve upgrades; FID announcement; binding close of the MDCB investment; Tlou first-generation and expansion milestones; any new licensing rounds or BPC CBM IPP awards; further infrastructure or offtake announcements; and implementing regulations for CBM and gas midstream activities.</w:t>
      </w:r>
    </w:p>
    <w:p w14:paraId="039D3D55" w14:textId="310EC0CD" w:rsidR="00EC027C" w:rsidRPr="00D66795" w:rsidRDefault="00000000">
      <w:pPr>
        <w:pStyle w:val="Heading1"/>
        <w:rPr>
          <w:rFonts w:ascii="Times New Roman" w:hAnsi="Times New Roman" w:cs="Times New Roman"/>
          <w:color w:val="auto"/>
          <w:sz w:val="24"/>
          <w:szCs w:val="24"/>
        </w:rPr>
      </w:pPr>
      <w:r w:rsidRPr="00D66795">
        <w:rPr>
          <w:rFonts w:ascii="Times New Roman" w:hAnsi="Times New Roman" w:cs="Times New Roman"/>
          <w:color w:val="auto"/>
          <w:sz w:val="24"/>
          <w:szCs w:val="24"/>
        </w:rPr>
        <w:lastRenderedPageBreak/>
        <w:t>Conclusion</w:t>
      </w:r>
    </w:p>
    <w:p w14:paraId="42468BDE" w14:textId="77777777" w:rsidR="00EC027C" w:rsidRPr="00D66795" w:rsidRDefault="00000000">
      <w:pPr>
        <w:spacing w:after="120" w:line="276" w:lineRule="auto"/>
        <w:jc w:val="both"/>
        <w:rPr>
          <w:rFonts w:ascii="Times New Roman" w:hAnsi="Times New Roman" w:cs="Times New Roman"/>
          <w:sz w:val="24"/>
          <w:szCs w:val="24"/>
        </w:rPr>
      </w:pPr>
      <w:r w:rsidRPr="00D66795">
        <w:rPr>
          <w:rFonts w:ascii="Times New Roman" w:hAnsi="Times New Roman" w:cs="Times New Roman"/>
          <w:sz w:val="24"/>
          <w:szCs w:val="24"/>
        </w:rPr>
        <w:t xml:space="preserve">Botswana possesses a material CBM resource base within the Kalahari Basin. The </w:t>
      </w:r>
      <w:proofErr w:type="spellStart"/>
      <w:r w:rsidRPr="00D66795">
        <w:rPr>
          <w:rFonts w:ascii="Times New Roman" w:hAnsi="Times New Roman" w:cs="Times New Roman"/>
          <w:sz w:val="24"/>
          <w:szCs w:val="24"/>
        </w:rPr>
        <w:t>Serowe</w:t>
      </w:r>
      <w:proofErr w:type="spellEnd"/>
      <w:r w:rsidRPr="00D66795">
        <w:rPr>
          <w:rFonts w:ascii="Times New Roman" w:hAnsi="Times New Roman" w:cs="Times New Roman"/>
          <w:sz w:val="24"/>
          <w:szCs w:val="24"/>
        </w:rPr>
        <w:t xml:space="preserve"> and Lesedi projects represent the most advanced commercial pathways. Investment activity has increased through government equity participation, offtake agreements and pilot progress, yet the sector remains capital- and data-constrained. Commercial success depends on converting contingent resources into proven reserves via sustained production, securing phased financing, and matching modular gas supply to domestic power and regional industrial demand. The next 12–18 months of flow testing, FID decisions and financing outcomes will determine whether CBM becomes a meaningful contributor to Botswana’s energy security and a viable destination for larger-scale investment.</w:t>
      </w:r>
    </w:p>
    <w:p w14:paraId="2770A103" w14:textId="77777777" w:rsidR="00EC027C" w:rsidRPr="00D66795" w:rsidRDefault="00000000">
      <w:pPr>
        <w:pStyle w:val="Heading1"/>
        <w:rPr>
          <w:rFonts w:ascii="Times New Roman" w:hAnsi="Times New Roman" w:cs="Times New Roman"/>
          <w:color w:val="auto"/>
          <w:sz w:val="24"/>
          <w:szCs w:val="24"/>
        </w:rPr>
      </w:pPr>
      <w:r w:rsidRPr="00D66795">
        <w:rPr>
          <w:rFonts w:ascii="Times New Roman" w:hAnsi="Times New Roman" w:cs="Times New Roman"/>
          <w:color w:val="auto"/>
          <w:sz w:val="24"/>
          <w:szCs w:val="24"/>
        </w:rPr>
        <w:t>Key Intelligence Takeaways</w:t>
      </w:r>
    </w:p>
    <w:p w14:paraId="26DDB001" w14:textId="77777777" w:rsidR="00EC027C" w:rsidRPr="00D66795" w:rsidRDefault="00000000">
      <w:pPr>
        <w:pStyle w:val="ListParagraph"/>
        <w:numPr>
          <w:ilvl w:val="0"/>
          <w:numId w:val="3"/>
        </w:numPr>
        <w:spacing w:after="100" w:line="276" w:lineRule="auto"/>
        <w:rPr>
          <w:rFonts w:ascii="Times New Roman" w:hAnsi="Times New Roman" w:cs="Times New Roman"/>
          <w:sz w:val="24"/>
          <w:szCs w:val="24"/>
        </w:rPr>
      </w:pPr>
      <w:proofErr w:type="spellStart"/>
      <w:r w:rsidRPr="00D66795">
        <w:rPr>
          <w:rFonts w:ascii="Times New Roman" w:hAnsi="Times New Roman" w:cs="Times New Roman"/>
          <w:sz w:val="24"/>
          <w:szCs w:val="24"/>
        </w:rPr>
        <w:t>Serowe</w:t>
      </w:r>
      <w:proofErr w:type="spellEnd"/>
      <w:r w:rsidRPr="00D66795">
        <w:rPr>
          <w:rFonts w:ascii="Times New Roman" w:hAnsi="Times New Roman" w:cs="Times New Roman"/>
          <w:sz w:val="24"/>
          <w:szCs w:val="24"/>
        </w:rPr>
        <w:t xml:space="preserve"> (</w:t>
      </w:r>
      <w:proofErr w:type="spellStart"/>
      <w:r w:rsidRPr="00D66795">
        <w:rPr>
          <w:rFonts w:ascii="Times New Roman" w:hAnsi="Times New Roman" w:cs="Times New Roman"/>
          <w:sz w:val="24"/>
          <w:szCs w:val="24"/>
        </w:rPr>
        <w:t>Botala</w:t>
      </w:r>
      <w:proofErr w:type="spellEnd"/>
      <w:r w:rsidRPr="00D66795">
        <w:rPr>
          <w:rFonts w:ascii="Times New Roman" w:hAnsi="Times New Roman" w:cs="Times New Roman"/>
          <w:sz w:val="24"/>
          <w:szCs w:val="24"/>
        </w:rPr>
        <w:t xml:space="preserve"> Energy) is the lead project: continuous gas flow was confirmed in September 2026; a mining </w:t>
      </w:r>
      <w:proofErr w:type="spellStart"/>
      <w:r w:rsidRPr="00D66795">
        <w:rPr>
          <w:rFonts w:ascii="Times New Roman" w:hAnsi="Times New Roman" w:cs="Times New Roman"/>
          <w:sz w:val="24"/>
          <w:szCs w:val="24"/>
        </w:rPr>
        <w:t>licence</w:t>
      </w:r>
      <w:proofErr w:type="spellEnd"/>
      <w:r w:rsidRPr="00D66795">
        <w:rPr>
          <w:rFonts w:ascii="Times New Roman" w:hAnsi="Times New Roman" w:cs="Times New Roman"/>
          <w:sz w:val="24"/>
          <w:szCs w:val="24"/>
        </w:rPr>
        <w:t>, offtake LOI and government equity term sheet are in place; FID is targeted for the second half of 2026 (</w:t>
      </w:r>
      <w:proofErr w:type="spellStart"/>
      <w:r w:rsidRPr="00D66795">
        <w:rPr>
          <w:rFonts w:ascii="Times New Roman" w:hAnsi="Times New Roman" w:cs="Times New Roman"/>
          <w:sz w:val="24"/>
          <w:szCs w:val="24"/>
        </w:rPr>
        <w:t>Botala</w:t>
      </w:r>
      <w:proofErr w:type="spellEnd"/>
      <w:r w:rsidRPr="00D66795">
        <w:rPr>
          <w:rFonts w:ascii="Times New Roman" w:hAnsi="Times New Roman" w:cs="Times New Roman"/>
          <w:sz w:val="24"/>
          <w:szCs w:val="24"/>
        </w:rPr>
        <w:t xml:space="preserve"> Energy, 2026a, 2025a).</w:t>
      </w:r>
    </w:p>
    <w:p w14:paraId="21B5EDE2" w14:textId="77777777" w:rsidR="00EC027C" w:rsidRPr="00D66795" w:rsidRDefault="00000000">
      <w:pPr>
        <w:pStyle w:val="ListParagraph"/>
        <w:numPr>
          <w:ilvl w:val="0"/>
          <w:numId w:val="3"/>
        </w:numPr>
        <w:spacing w:after="100" w:line="276" w:lineRule="auto"/>
        <w:rPr>
          <w:rFonts w:ascii="Times New Roman" w:hAnsi="Times New Roman" w:cs="Times New Roman"/>
          <w:sz w:val="24"/>
          <w:szCs w:val="24"/>
        </w:rPr>
      </w:pPr>
      <w:r w:rsidRPr="00D66795">
        <w:rPr>
          <w:rFonts w:ascii="Times New Roman" w:hAnsi="Times New Roman" w:cs="Times New Roman"/>
          <w:sz w:val="24"/>
          <w:szCs w:val="24"/>
        </w:rPr>
        <w:t xml:space="preserve">Basin-scale resource potential is substantial (USGS mean 4.5 </w:t>
      </w:r>
      <w:proofErr w:type="spellStart"/>
      <w:r w:rsidRPr="00D66795">
        <w:rPr>
          <w:rFonts w:ascii="Times New Roman" w:hAnsi="Times New Roman" w:cs="Times New Roman"/>
          <w:sz w:val="24"/>
          <w:szCs w:val="24"/>
        </w:rPr>
        <w:t>Tcf</w:t>
      </w:r>
      <w:proofErr w:type="spellEnd"/>
      <w:r w:rsidRPr="00D66795">
        <w:rPr>
          <w:rFonts w:ascii="Times New Roman" w:hAnsi="Times New Roman" w:cs="Times New Roman"/>
          <w:sz w:val="24"/>
          <w:szCs w:val="24"/>
        </w:rPr>
        <w:t xml:space="preserve"> TRR), but commercially proven reserves remain limited; most volumes are contingent or prospective (U.S. Geological Survey, 2017; </w:t>
      </w:r>
      <w:proofErr w:type="spellStart"/>
      <w:r w:rsidRPr="00D66795">
        <w:rPr>
          <w:rFonts w:ascii="Times New Roman" w:hAnsi="Times New Roman" w:cs="Times New Roman"/>
          <w:sz w:val="24"/>
          <w:szCs w:val="24"/>
        </w:rPr>
        <w:t>Botala</w:t>
      </w:r>
      <w:proofErr w:type="spellEnd"/>
      <w:r w:rsidRPr="00D66795">
        <w:rPr>
          <w:rFonts w:ascii="Times New Roman" w:hAnsi="Times New Roman" w:cs="Times New Roman"/>
          <w:sz w:val="24"/>
          <w:szCs w:val="24"/>
        </w:rPr>
        <w:t xml:space="preserve"> Energy, 2024; Tlou Energy, n.d.).</w:t>
      </w:r>
    </w:p>
    <w:p w14:paraId="5B73B092" w14:textId="77777777" w:rsidR="00EC027C" w:rsidRPr="00D66795" w:rsidRDefault="00000000">
      <w:pPr>
        <w:pStyle w:val="ListParagraph"/>
        <w:numPr>
          <w:ilvl w:val="0"/>
          <w:numId w:val="3"/>
        </w:numPr>
        <w:spacing w:after="100" w:line="276" w:lineRule="auto"/>
        <w:rPr>
          <w:rFonts w:ascii="Times New Roman" w:hAnsi="Times New Roman" w:cs="Times New Roman"/>
          <w:sz w:val="24"/>
          <w:szCs w:val="24"/>
        </w:rPr>
      </w:pPr>
      <w:r w:rsidRPr="00D66795">
        <w:rPr>
          <w:rFonts w:ascii="Times New Roman" w:hAnsi="Times New Roman" w:cs="Times New Roman"/>
          <w:sz w:val="24"/>
          <w:szCs w:val="24"/>
        </w:rPr>
        <w:t>Government co-investment via MDCB is a material de-risking signal but does not eliminate technical or market risk (</w:t>
      </w:r>
      <w:proofErr w:type="spellStart"/>
      <w:r w:rsidRPr="00D66795">
        <w:rPr>
          <w:rFonts w:ascii="Times New Roman" w:hAnsi="Times New Roman" w:cs="Times New Roman"/>
          <w:sz w:val="24"/>
          <w:szCs w:val="24"/>
        </w:rPr>
        <w:t>Botala</w:t>
      </w:r>
      <w:proofErr w:type="spellEnd"/>
      <w:r w:rsidRPr="00D66795">
        <w:rPr>
          <w:rFonts w:ascii="Times New Roman" w:hAnsi="Times New Roman" w:cs="Times New Roman"/>
          <w:sz w:val="24"/>
          <w:szCs w:val="24"/>
        </w:rPr>
        <w:t xml:space="preserve"> Energy, 2025a).</w:t>
      </w:r>
    </w:p>
    <w:p w14:paraId="0049B718" w14:textId="77777777" w:rsidR="00EC027C" w:rsidRPr="00D66795" w:rsidRDefault="00000000">
      <w:pPr>
        <w:pStyle w:val="ListParagraph"/>
        <w:numPr>
          <w:ilvl w:val="0"/>
          <w:numId w:val="3"/>
        </w:numPr>
        <w:spacing w:after="100" w:line="276" w:lineRule="auto"/>
        <w:rPr>
          <w:rFonts w:ascii="Times New Roman" w:hAnsi="Times New Roman" w:cs="Times New Roman"/>
          <w:sz w:val="24"/>
          <w:szCs w:val="24"/>
        </w:rPr>
      </w:pPr>
      <w:r w:rsidRPr="00D66795">
        <w:rPr>
          <w:rFonts w:ascii="Times New Roman" w:hAnsi="Times New Roman" w:cs="Times New Roman"/>
          <w:sz w:val="24"/>
          <w:szCs w:val="24"/>
        </w:rPr>
        <w:t>Near-term commercial models are modular (mini-LNG and gas-to-power) rather than large-pipeline export.</w:t>
      </w:r>
    </w:p>
    <w:p w14:paraId="2701D655" w14:textId="77777777" w:rsidR="00EC027C" w:rsidRPr="00D66795" w:rsidRDefault="00000000">
      <w:pPr>
        <w:pStyle w:val="ListParagraph"/>
        <w:numPr>
          <w:ilvl w:val="0"/>
          <w:numId w:val="3"/>
        </w:numPr>
        <w:spacing w:after="100" w:line="276" w:lineRule="auto"/>
        <w:rPr>
          <w:rFonts w:ascii="Times New Roman" w:hAnsi="Times New Roman" w:cs="Times New Roman"/>
          <w:sz w:val="24"/>
          <w:szCs w:val="24"/>
        </w:rPr>
      </w:pPr>
      <w:r w:rsidRPr="00D66795">
        <w:rPr>
          <w:rFonts w:ascii="Times New Roman" w:hAnsi="Times New Roman" w:cs="Times New Roman"/>
          <w:sz w:val="24"/>
          <w:szCs w:val="24"/>
        </w:rPr>
        <w:t>Primary constraints are infrastructure, reserve conversion and financing scale; primary opportunities lie in pilot success unlocking phased development and industrial offtake.</w:t>
      </w:r>
    </w:p>
    <w:p w14:paraId="0C8840B8" w14:textId="77777777" w:rsidR="00EC027C" w:rsidRPr="00D66795" w:rsidRDefault="00000000">
      <w:pPr>
        <w:pStyle w:val="Heading1"/>
        <w:rPr>
          <w:rFonts w:ascii="Times New Roman" w:hAnsi="Times New Roman" w:cs="Times New Roman"/>
          <w:color w:val="auto"/>
          <w:sz w:val="24"/>
          <w:szCs w:val="24"/>
        </w:rPr>
      </w:pPr>
      <w:r w:rsidRPr="00D66795">
        <w:rPr>
          <w:rFonts w:ascii="Times New Roman" w:hAnsi="Times New Roman" w:cs="Times New Roman"/>
          <w:color w:val="auto"/>
          <w:sz w:val="24"/>
          <w:szCs w:val="24"/>
        </w:rPr>
        <w:t>References</w:t>
      </w:r>
    </w:p>
    <w:p w14:paraId="6227796E" w14:textId="77777777" w:rsidR="00EC027C" w:rsidRPr="00D66795" w:rsidRDefault="00000000">
      <w:pPr>
        <w:spacing w:after="80" w:line="276" w:lineRule="auto"/>
        <w:jc w:val="both"/>
        <w:rPr>
          <w:rFonts w:ascii="Times New Roman" w:hAnsi="Times New Roman" w:cs="Times New Roman"/>
          <w:sz w:val="24"/>
          <w:szCs w:val="24"/>
        </w:rPr>
      </w:pPr>
      <w:proofErr w:type="spellStart"/>
      <w:r w:rsidRPr="00D66795">
        <w:rPr>
          <w:rFonts w:ascii="Times New Roman" w:hAnsi="Times New Roman" w:cs="Times New Roman"/>
          <w:sz w:val="24"/>
          <w:szCs w:val="24"/>
        </w:rPr>
        <w:t>Botala</w:t>
      </w:r>
      <w:proofErr w:type="spellEnd"/>
      <w:r w:rsidRPr="00D66795">
        <w:rPr>
          <w:rFonts w:ascii="Times New Roman" w:hAnsi="Times New Roman" w:cs="Times New Roman"/>
          <w:sz w:val="24"/>
          <w:szCs w:val="24"/>
        </w:rPr>
        <w:t xml:space="preserve"> Energy. (2024). 42% increase in CBM resources (ASX announcement, July 2024). https://www.listcorp.com/</w:t>
      </w:r>
    </w:p>
    <w:p w14:paraId="1F6A5FB5" w14:textId="77777777" w:rsidR="00EC027C" w:rsidRPr="00D66795" w:rsidRDefault="00000000">
      <w:pPr>
        <w:spacing w:after="80" w:line="276" w:lineRule="auto"/>
        <w:jc w:val="both"/>
        <w:rPr>
          <w:rFonts w:ascii="Times New Roman" w:hAnsi="Times New Roman" w:cs="Times New Roman"/>
          <w:sz w:val="24"/>
          <w:szCs w:val="24"/>
        </w:rPr>
      </w:pPr>
      <w:proofErr w:type="spellStart"/>
      <w:r w:rsidRPr="00D66795">
        <w:rPr>
          <w:rFonts w:ascii="Times New Roman" w:hAnsi="Times New Roman" w:cs="Times New Roman"/>
          <w:sz w:val="24"/>
          <w:szCs w:val="24"/>
        </w:rPr>
        <w:t>Botala</w:t>
      </w:r>
      <w:proofErr w:type="spellEnd"/>
      <w:r w:rsidRPr="00D66795">
        <w:rPr>
          <w:rFonts w:ascii="Times New Roman" w:hAnsi="Times New Roman" w:cs="Times New Roman"/>
          <w:sz w:val="24"/>
          <w:szCs w:val="24"/>
        </w:rPr>
        <w:t xml:space="preserve"> Energy. (2025a). MDCB increases investment proposal to A$4 million (ASX announcement, December 2025). https://www.listcorp.com/</w:t>
      </w:r>
    </w:p>
    <w:p w14:paraId="4EE66810" w14:textId="77777777" w:rsidR="00EC027C" w:rsidRPr="00D66795" w:rsidRDefault="00000000">
      <w:pPr>
        <w:spacing w:after="80" w:line="276" w:lineRule="auto"/>
        <w:jc w:val="both"/>
        <w:rPr>
          <w:rFonts w:ascii="Times New Roman" w:hAnsi="Times New Roman" w:cs="Times New Roman"/>
          <w:sz w:val="24"/>
          <w:szCs w:val="24"/>
        </w:rPr>
      </w:pPr>
      <w:proofErr w:type="spellStart"/>
      <w:r w:rsidRPr="00D66795">
        <w:rPr>
          <w:rFonts w:ascii="Times New Roman" w:hAnsi="Times New Roman" w:cs="Times New Roman"/>
          <w:sz w:val="24"/>
          <w:szCs w:val="24"/>
        </w:rPr>
        <w:t>Botala</w:t>
      </w:r>
      <w:proofErr w:type="spellEnd"/>
      <w:r w:rsidRPr="00D66795">
        <w:rPr>
          <w:rFonts w:ascii="Times New Roman" w:hAnsi="Times New Roman" w:cs="Times New Roman"/>
          <w:sz w:val="24"/>
          <w:szCs w:val="24"/>
        </w:rPr>
        <w:t xml:space="preserve"> Energy. (2025b). </w:t>
      </w:r>
      <w:proofErr w:type="spellStart"/>
      <w:r w:rsidRPr="00D66795">
        <w:rPr>
          <w:rFonts w:ascii="Times New Roman" w:hAnsi="Times New Roman" w:cs="Times New Roman"/>
          <w:sz w:val="24"/>
          <w:szCs w:val="24"/>
        </w:rPr>
        <w:t>Serowe</w:t>
      </w:r>
      <w:proofErr w:type="spellEnd"/>
      <w:r w:rsidRPr="00D66795">
        <w:rPr>
          <w:rFonts w:ascii="Times New Roman" w:hAnsi="Times New Roman" w:cs="Times New Roman"/>
          <w:sz w:val="24"/>
          <w:szCs w:val="24"/>
        </w:rPr>
        <w:t xml:space="preserve"> CBM Project mining </w:t>
      </w:r>
      <w:proofErr w:type="spellStart"/>
      <w:r w:rsidRPr="00D66795">
        <w:rPr>
          <w:rFonts w:ascii="Times New Roman" w:hAnsi="Times New Roman" w:cs="Times New Roman"/>
          <w:sz w:val="24"/>
          <w:szCs w:val="24"/>
        </w:rPr>
        <w:t>licence</w:t>
      </w:r>
      <w:proofErr w:type="spellEnd"/>
      <w:r w:rsidRPr="00D66795">
        <w:rPr>
          <w:rFonts w:ascii="Times New Roman" w:hAnsi="Times New Roman" w:cs="Times New Roman"/>
          <w:sz w:val="24"/>
          <w:szCs w:val="24"/>
        </w:rPr>
        <w:t xml:space="preserve"> awarded and related updates. Company disclosures.</w:t>
      </w:r>
    </w:p>
    <w:p w14:paraId="78330853" w14:textId="77777777" w:rsidR="00EC027C" w:rsidRPr="00D66795" w:rsidRDefault="00000000">
      <w:pPr>
        <w:spacing w:after="80" w:line="276" w:lineRule="auto"/>
        <w:jc w:val="both"/>
        <w:rPr>
          <w:rFonts w:ascii="Times New Roman" w:hAnsi="Times New Roman" w:cs="Times New Roman"/>
          <w:sz w:val="24"/>
          <w:szCs w:val="24"/>
        </w:rPr>
      </w:pPr>
      <w:proofErr w:type="spellStart"/>
      <w:r w:rsidRPr="00D66795">
        <w:rPr>
          <w:rFonts w:ascii="Times New Roman" w:hAnsi="Times New Roman" w:cs="Times New Roman"/>
          <w:sz w:val="24"/>
          <w:szCs w:val="24"/>
        </w:rPr>
        <w:t>Botala</w:t>
      </w:r>
      <w:proofErr w:type="spellEnd"/>
      <w:r w:rsidRPr="00D66795">
        <w:rPr>
          <w:rFonts w:ascii="Times New Roman" w:hAnsi="Times New Roman" w:cs="Times New Roman"/>
          <w:sz w:val="24"/>
          <w:szCs w:val="24"/>
        </w:rPr>
        <w:t xml:space="preserve"> Energy. (2026a). </w:t>
      </w:r>
      <w:proofErr w:type="spellStart"/>
      <w:r w:rsidRPr="00D66795">
        <w:rPr>
          <w:rFonts w:ascii="Times New Roman" w:hAnsi="Times New Roman" w:cs="Times New Roman"/>
          <w:sz w:val="24"/>
          <w:szCs w:val="24"/>
        </w:rPr>
        <w:t>Botala</w:t>
      </w:r>
      <w:proofErr w:type="spellEnd"/>
      <w:r w:rsidRPr="00D66795">
        <w:rPr>
          <w:rFonts w:ascii="Times New Roman" w:hAnsi="Times New Roman" w:cs="Times New Roman"/>
          <w:sz w:val="24"/>
          <w:szCs w:val="24"/>
        </w:rPr>
        <w:t xml:space="preserve"> Energy achieves early continuous gas flow at </w:t>
      </w:r>
      <w:proofErr w:type="spellStart"/>
      <w:r w:rsidRPr="00D66795">
        <w:rPr>
          <w:rFonts w:ascii="Times New Roman" w:hAnsi="Times New Roman" w:cs="Times New Roman"/>
          <w:sz w:val="24"/>
          <w:szCs w:val="24"/>
        </w:rPr>
        <w:t>Serowe’s</w:t>
      </w:r>
      <w:proofErr w:type="spellEnd"/>
      <w:r w:rsidRPr="00D66795">
        <w:rPr>
          <w:rFonts w:ascii="Times New Roman" w:hAnsi="Times New Roman" w:cs="Times New Roman"/>
          <w:sz w:val="24"/>
          <w:szCs w:val="24"/>
        </w:rPr>
        <w:t xml:space="preserve"> </w:t>
      </w:r>
      <w:proofErr w:type="spellStart"/>
      <w:r w:rsidRPr="00D66795">
        <w:rPr>
          <w:rFonts w:ascii="Times New Roman" w:hAnsi="Times New Roman" w:cs="Times New Roman"/>
          <w:sz w:val="24"/>
          <w:szCs w:val="24"/>
        </w:rPr>
        <w:t>Pitse</w:t>
      </w:r>
      <w:proofErr w:type="spellEnd"/>
      <w:r w:rsidRPr="00D66795">
        <w:rPr>
          <w:rFonts w:ascii="Times New Roman" w:hAnsi="Times New Roman" w:cs="Times New Roman"/>
          <w:sz w:val="24"/>
          <w:szCs w:val="24"/>
        </w:rPr>
        <w:t xml:space="preserve"> pilot well (September 2026). Small Caps / company announcement. https://smallcaps.com.au/</w:t>
      </w:r>
    </w:p>
    <w:p w14:paraId="58D3422D" w14:textId="77777777" w:rsidR="00EC027C" w:rsidRPr="00D66795" w:rsidRDefault="00000000">
      <w:pPr>
        <w:spacing w:after="80" w:line="276" w:lineRule="auto"/>
        <w:jc w:val="both"/>
        <w:rPr>
          <w:rFonts w:ascii="Times New Roman" w:hAnsi="Times New Roman" w:cs="Times New Roman"/>
          <w:sz w:val="24"/>
          <w:szCs w:val="24"/>
        </w:rPr>
      </w:pPr>
      <w:r w:rsidRPr="00D66795">
        <w:rPr>
          <w:rFonts w:ascii="Times New Roman" w:hAnsi="Times New Roman" w:cs="Times New Roman"/>
          <w:sz w:val="24"/>
          <w:szCs w:val="24"/>
        </w:rPr>
        <w:t>Botswana Government. (2024). Mines and Minerals (Amendment) Act, 2024 (Act No. 14 of 2024). https://botswanalaws.com/</w:t>
      </w:r>
    </w:p>
    <w:p w14:paraId="3B9E9316" w14:textId="77777777" w:rsidR="00EC027C" w:rsidRPr="00D66795" w:rsidRDefault="00000000">
      <w:pPr>
        <w:spacing w:after="80" w:line="276" w:lineRule="auto"/>
        <w:jc w:val="both"/>
        <w:rPr>
          <w:rFonts w:ascii="Times New Roman" w:hAnsi="Times New Roman" w:cs="Times New Roman"/>
          <w:sz w:val="24"/>
          <w:szCs w:val="24"/>
        </w:rPr>
      </w:pPr>
      <w:r w:rsidRPr="00D66795">
        <w:rPr>
          <w:rFonts w:ascii="Times New Roman" w:hAnsi="Times New Roman" w:cs="Times New Roman"/>
          <w:sz w:val="24"/>
          <w:szCs w:val="24"/>
        </w:rPr>
        <w:lastRenderedPageBreak/>
        <w:t>Botswana Power Corporation. (2026). Tender for design, installation, commissioning and operation of 10 MW CBM pilot plants as IPPs (Tender No. 7614/25). https://www.bpc.bw/</w:t>
      </w:r>
    </w:p>
    <w:p w14:paraId="4D7D8B8F" w14:textId="77777777" w:rsidR="00EC027C" w:rsidRPr="00D66795" w:rsidRDefault="00000000">
      <w:pPr>
        <w:spacing w:after="80" w:line="276" w:lineRule="auto"/>
        <w:jc w:val="both"/>
        <w:rPr>
          <w:rFonts w:ascii="Times New Roman" w:hAnsi="Times New Roman" w:cs="Times New Roman"/>
          <w:sz w:val="24"/>
          <w:szCs w:val="24"/>
        </w:rPr>
      </w:pPr>
      <w:r w:rsidRPr="00D66795">
        <w:rPr>
          <w:rFonts w:ascii="Times New Roman" w:hAnsi="Times New Roman" w:cs="Times New Roman"/>
          <w:sz w:val="24"/>
          <w:szCs w:val="24"/>
        </w:rPr>
        <w:t>Business Insider Africa. (2026, September 16). Botswana approves $140 million plant set to become Southern Africa’s first integrated battery minerals complex. https://africa.businessinsider.com/</w:t>
      </w:r>
    </w:p>
    <w:p w14:paraId="645FBB3F" w14:textId="77777777" w:rsidR="00EC027C" w:rsidRPr="00D66795" w:rsidRDefault="00000000">
      <w:pPr>
        <w:spacing w:after="80" w:line="276" w:lineRule="auto"/>
        <w:jc w:val="both"/>
        <w:rPr>
          <w:rFonts w:ascii="Times New Roman" w:hAnsi="Times New Roman" w:cs="Times New Roman"/>
          <w:sz w:val="24"/>
          <w:szCs w:val="24"/>
        </w:rPr>
      </w:pPr>
      <w:r w:rsidRPr="00D66795">
        <w:rPr>
          <w:rFonts w:ascii="Times New Roman" w:hAnsi="Times New Roman" w:cs="Times New Roman"/>
          <w:sz w:val="24"/>
          <w:szCs w:val="24"/>
        </w:rPr>
        <w:t>Energies Media. (2026). Botswana coal-bed methane development targets 2026 investment decision. https://energiesmedia.com/</w:t>
      </w:r>
    </w:p>
    <w:p w14:paraId="479F58F8" w14:textId="77777777" w:rsidR="00EC027C" w:rsidRPr="00D66795" w:rsidRDefault="00000000">
      <w:pPr>
        <w:spacing w:after="80" w:line="276" w:lineRule="auto"/>
        <w:jc w:val="both"/>
        <w:rPr>
          <w:rFonts w:ascii="Times New Roman" w:hAnsi="Times New Roman" w:cs="Times New Roman"/>
          <w:sz w:val="24"/>
          <w:szCs w:val="24"/>
        </w:rPr>
      </w:pPr>
      <w:r w:rsidRPr="00D66795">
        <w:rPr>
          <w:rFonts w:ascii="Times New Roman" w:hAnsi="Times New Roman" w:cs="Times New Roman"/>
          <w:sz w:val="24"/>
          <w:szCs w:val="24"/>
        </w:rPr>
        <w:t>Sunday Standard. (2025, December 14). Govt pumps P53 million into private coal bed methane project. https://www.sundaystandard.info/</w:t>
      </w:r>
    </w:p>
    <w:p w14:paraId="47251050" w14:textId="77777777" w:rsidR="00EC027C" w:rsidRPr="00D66795" w:rsidRDefault="00000000">
      <w:pPr>
        <w:spacing w:after="80" w:line="276" w:lineRule="auto"/>
        <w:jc w:val="both"/>
        <w:rPr>
          <w:rFonts w:ascii="Times New Roman" w:hAnsi="Times New Roman" w:cs="Times New Roman"/>
          <w:sz w:val="24"/>
          <w:szCs w:val="24"/>
        </w:rPr>
      </w:pPr>
      <w:r w:rsidRPr="00D66795">
        <w:rPr>
          <w:rFonts w:ascii="Times New Roman" w:hAnsi="Times New Roman" w:cs="Times New Roman"/>
          <w:sz w:val="24"/>
          <w:szCs w:val="24"/>
        </w:rPr>
        <w:t>Tlou Energy. (n.d.). Lesedi Power Project. https://tlouenergy.com/projects/</w:t>
      </w:r>
    </w:p>
    <w:p w14:paraId="73EFAE51" w14:textId="77777777" w:rsidR="00EC027C" w:rsidRPr="00D66795" w:rsidRDefault="00000000">
      <w:pPr>
        <w:spacing w:after="80" w:line="276" w:lineRule="auto"/>
        <w:jc w:val="both"/>
        <w:rPr>
          <w:rFonts w:ascii="Times New Roman" w:hAnsi="Times New Roman" w:cs="Times New Roman"/>
          <w:sz w:val="24"/>
          <w:szCs w:val="24"/>
        </w:rPr>
      </w:pPr>
      <w:r w:rsidRPr="00D66795">
        <w:rPr>
          <w:rFonts w:ascii="Times New Roman" w:hAnsi="Times New Roman" w:cs="Times New Roman"/>
          <w:sz w:val="24"/>
          <w:szCs w:val="24"/>
        </w:rPr>
        <w:t>U.S. Geological Survey. (2017). Assessment of coalbed gas resources of the Kalahari Basin Province, Botswana, Zimbabwe, and Zambia (Fact Sheet 2017-3003). https://pubs.usgs.gov/</w:t>
      </w:r>
    </w:p>
    <w:p w14:paraId="4CFF50C9" w14:textId="77777777" w:rsidR="00EC027C" w:rsidRPr="00D66795" w:rsidRDefault="00000000">
      <w:pPr>
        <w:spacing w:after="80" w:line="276" w:lineRule="auto"/>
        <w:jc w:val="both"/>
        <w:rPr>
          <w:rFonts w:ascii="Times New Roman" w:hAnsi="Times New Roman" w:cs="Times New Roman"/>
          <w:sz w:val="24"/>
          <w:szCs w:val="24"/>
        </w:rPr>
      </w:pPr>
      <w:r w:rsidRPr="00D66795">
        <w:rPr>
          <w:rFonts w:ascii="Times New Roman" w:hAnsi="Times New Roman" w:cs="Times New Roman"/>
          <w:sz w:val="24"/>
          <w:szCs w:val="24"/>
        </w:rPr>
        <w:t>Upstream Online. (2025). Botswana CBM project expects FID in 2026. https://www.upstreamonline.com/</w:t>
      </w:r>
    </w:p>
    <w:p w14:paraId="79CB167E" w14:textId="77777777" w:rsidR="00EC027C" w:rsidRPr="00D66795" w:rsidRDefault="00EC027C">
      <w:pPr>
        <w:spacing w:before="300"/>
        <w:rPr>
          <w:rFonts w:ascii="Times New Roman" w:hAnsi="Times New Roman" w:cs="Times New Roman"/>
          <w:sz w:val="24"/>
          <w:szCs w:val="24"/>
        </w:rPr>
      </w:pPr>
    </w:p>
    <w:p w14:paraId="7F2ADA0E" w14:textId="1E075131" w:rsidR="00EC027C" w:rsidRPr="00D66795" w:rsidRDefault="00000000">
      <w:pPr>
        <w:spacing w:after="120" w:line="276" w:lineRule="auto"/>
        <w:jc w:val="both"/>
        <w:rPr>
          <w:rFonts w:ascii="Times New Roman" w:hAnsi="Times New Roman" w:cs="Times New Roman"/>
          <w:sz w:val="24"/>
          <w:szCs w:val="24"/>
        </w:rPr>
      </w:pPr>
      <w:r w:rsidRPr="00D66795">
        <w:rPr>
          <w:rFonts w:ascii="Times New Roman" w:hAnsi="Times New Roman" w:cs="Times New Roman"/>
          <w:i/>
          <w:iCs/>
          <w:sz w:val="24"/>
          <w:szCs w:val="24"/>
        </w:rPr>
        <w:t>.</w:t>
      </w:r>
    </w:p>
    <w:sectPr w:rsidR="00EC027C" w:rsidRPr="00D66795" w:rsidSect="00D66795">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769C8" w14:textId="77777777" w:rsidR="001E2EF2" w:rsidRDefault="001E2EF2">
      <w:r>
        <w:separator/>
      </w:r>
    </w:p>
  </w:endnote>
  <w:endnote w:type="continuationSeparator" w:id="0">
    <w:p w14:paraId="5BDE105C" w14:textId="77777777" w:rsidR="001E2EF2" w:rsidRDefault="001E2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99A77" w14:textId="77777777" w:rsidR="001E2EF2" w:rsidRDefault="001E2EF2">
      <w:r>
        <w:separator/>
      </w:r>
    </w:p>
  </w:footnote>
  <w:footnote w:type="continuationSeparator" w:id="0">
    <w:p w14:paraId="77C07015" w14:textId="77777777" w:rsidR="001E2EF2" w:rsidRDefault="001E2E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1132A"/>
    <w:multiLevelType w:val="hybridMultilevel"/>
    <w:tmpl w:val="826AA432"/>
    <w:lvl w:ilvl="0" w:tplc="9950FF70">
      <w:start w:val="1"/>
      <w:numFmt w:val="bullet"/>
      <w:lvlText w:val="●"/>
      <w:lvlJc w:val="left"/>
      <w:pPr>
        <w:ind w:left="720" w:hanging="360"/>
      </w:pPr>
    </w:lvl>
    <w:lvl w:ilvl="1" w:tplc="EFF41B34">
      <w:start w:val="1"/>
      <w:numFmt w:val="bullet"/>
      <w:lvlText w:val="○"/>
      <w:lvlJc w:val="left"/>
      <w:pPr>
        <w:ind w:left="1440" w:hanging="360"/>
      </w:pPr>
    </w:lvl>
    <w:lvl w:ilvl="2" w:tplc="1C204EE0">
      <w:start w:val="1"/>
      <w:numFmt w:val="bullet"/>
      <w:lvlText w:val="■"/>
      <w:lvlJc w:val="left"/>
      <w:pPr>
        <w:ind w:left="2160" w:hanging="360"/>
      </w:pPr>
    </w:lvl>
    <w:lvl w:ilvl="3" w:tplc="471E9EE8">
      <w:start w:val="1"/>
      <w:numFmt w:val="bullet"/>
      <w:lvlText w:val="●"/>
      <w:lvlJc w:val="left"/>
      <w:pPr>
        <w:ind w:left="2880" w:hanging="360"/>
      </w:pPr>
    </w:lvl>
    <w:lvl w:ilvl="4" w:tplc="DC14A14E">
      <w:start w:val="1"/>
      <w:numFmt w:val="bullet"/>
      <w:lvlText w:val="○"/>
      <w:lvlJc w:val="left"/>
      <w:pPr>
        <w:ind w:left="3600" w:hanging="360"/>
      </w:pPr>
    </w:lvl>
    <w:lvl w:ilvl="5" w:tplc="B40E2838">
      <w:start w:val="1"/>
      <w:numFmt w:val="bullet"/>
      <w:lvlText w:val="■"/>
      <w:lvlJc w:val="left"/>
      <w:pPr>
        <w:ind w:left="4320" w:hanging="360"/>
      </w:pPr>
    </w:lvl>
    <w:lvl w:ilvl="6" w:tplc="6A220754">
      <w:start w:val="1"/>
      <w:numFmt w:val="bullet"/>
      <w:lvlText w:val="●"/>
      <w:lvlJc w:val="left"/>
      <w:pPr>
        <w:ind w:left="5040" w:hanging="360"/>
      </w:pPr>
    </w:lvl>
    <w:lvl w:ilvl="7" w:tplc="9C4CBCBE">
      <w:start w:val="1"/>
      <w:numFmt w:val="bullet"/>
      <w:lvlText w:val="●"/>
      <w:lvlJc w:val="left"/>
      <w:pPr>
        <w:ind w:left="5760" w:hanging="360"/>
      </w:pPr>
    </w:lvl>
    <w:lvl w:ilvl="8" w:tplc="7E54E0FE">
      <w:start w:val="1"/>
      <w:numFmt w:val="bullet"/>
      <w:lvlText w:val="●"/>
      <w:lvlJc w:val="left"/>
      <w:pPr>
        <w:ind w:left="6480" w:hanging="360"/>
      </w:pPr>
    </w:lvl>
  </w:abstractNum>
  <w:abstractNum w:abstractNumId="1" w15:restartNumberingAfterBreak="0">
    <w:nsid w:val="1C0406F1"/>
    <w:multiLevelType w:val="hybridMultilevel"/>
    <w:tmpl w:val="F2D0BCA6"/>
    <w:lvl w:ilvl="0" w:tplc="C2A844FA">
      <w:start w:val="1"/>
      <w:numFmt w:val="decimal"/>
      <w:lvlText w:val="%1."/>
      <w:lvlJc w:val="left"/>
      <w:pPr>
        <w:ind w:left="720" w:hanging="360"/>
      </w:pPr>
    </w:lvl>
    <w:lvl w:ilvl="1" w:tplc="9B929ED0">
      <w:numFmt w:val="decimal"/>
      <w:lvlText w:val=""/>
      <w:lvlJc w:val="left"/>
    </w:lvl>
    <w:lvl w:ilvl="2" w:tplc="045A73B6">
      <w:numFmt w:val="decimal"/>
      <w:lvlText w:val=""/>
      <w:lvlJc w:val="left"/>
    </w:lvl>
    <w:lvl w:ilvl="3" w:tplc="7152DBA8">
      <w:numFmt w:val="decimal"/>
      <w:lvlText w:val=""/>
      <w:lvlJc w:val="left"/>
    </w:lvl>
    <w:lvl w:ilvl="4" w:tplc="7EB452C4">
      <w:numFmt w:val="decimal"/>
      <w:lvlText w:val=""/>
      <w:lvlJc w:val="left"/>
    </w:lvl>
    <w:lvl w:ilvl="5" w:tplc="89F28B62">
      <w:numFmt w:val="decimal"/>
      <w:lvlText w:val=""/>
      <w:lvlJc w:val="left"/>
    </w:lvl>
    <w:lvl w:ilvl="6" w:tplc="B44AFB42">
      <w:numFmt w:val="decimal"/>
      <w:lvlText w:val=""/>
      <w:lvlJc w:val="left"/>
    </w:lvl>
    <w:lvl w:ilvl="7" w:tplc="C406B4BE">
      <w:numFmt w:val="decimal"/>
      <w:lvlText w:val=""/>
      <w:lvlJc w:val="left"/>
    </w:lvl>
    <w:lvl w:ilvl="8" w:tplc="8570C05E">
      <w:numFmt w:val="decimal"/>
      <w:lvlText w:val=""/>
      <w:lvlJc w:val="left"/>
    </w:lvl>
  </w:abstractNum>
  <w:abstractNum w:abstractNumId="2" w15:restartNumberingAfterBreak="0">
    <w:nsid w:val="46073C4F"/>
    <w:multiLevelType w:val="hybridMultilevel"/>
    <w:tmpl w:val="C0B8D30E"/>
    <w:lvl w:ilvl="0" w:tplc="696CE89C">
      <w:start w:val="1"/>
      <w:numFmt w:val="decimal"/>
      <w:lvlText w:val="%1."/>
      <w:lvlJc w:val="left"/>
      <w:pPr>
        <w:ind w:left="720" w:hanging="360"/>
      </w:pPr>
    </w:lvl>
    <w:lvl w:ilvl="1" w:tplc="60202448">
      <w:numFmt w:val="decimal"/>
      <w:lvlText w:val=""/>
      <w:lvlJc w:val="left"/>
    </w:lvl>
    <w:lvl w:ilvl="2" w:tplc="228A8DD2">
      <w:numFmt w:val="decimal"/>
      <w:lvlText w:val=""/>
      <w:lvlJc w:val="left"/>
    </w:lvl>
    <w:lvl w:ilvl="3" w:tplc="26EA4C4E">
      <w:numFmt w:val="decimal"/>
      <w:lvlText w:val=""/>
      <w:lvlJc w:val="left"/>
    </w:lvl>
    <w:lvl w:ilvl="4" w:tplc="DCD20788">
      <w:numFmt w:val="decimal"/>
      <w:lvlText w:val=""/>
      <w:lvlJc w:val="left"/>
    </w:lvl>
    <w:lvl w:ilvl="5" w:tplc="5B7E6DF6">
      <w:numFmt w:val="decimal"/>
      <w:lvlText w:val=""/>
      <w:lvlJc w:val="left"/>
    </w:lvl>
    <w:lvl w:ilvl="6" w:tplc="EDF8D3F0">
      <w:numFmt w:val="decimal"/>
      <w:lvlText w:val=""/>
      <w:lvlJc w:val="left"/>
    </w:lvl>
    <w:lvl w:ilvl="7" w:tplc="606EC3F2">
      <w:numFmt w:val="decimal"/>
      <w:lvlText w:val=""/>
      <w:lvlJc w:val="left"/>
    </w:lvl>
    <w:lvl w:ilvl="8" w:tplc="A4609708">
      <w:numFmt w:val="decimal"/>
      <w:lvlText w:val=""/>
      <w:lvlJc w:val="left"/>
    </w:lvl>
  </w:abstractNum>
  <w:abstractNum w:abstractNumId="3" w15:restartNumberingAfterBreak="0">
    <w:nsid w:val="531179A9"/>
    <w:multiLevelType w:val="hybridMultilevel"/>
    <w:tmpl w:val="17DA71F8"/>
    <w:lvl w:ilvl="0" w:tplc="A9DE5F1A">
      <w:start w:val="1"/>
      <w:numFmt w:val="bullet"/>
      <w:lvlText w:val="•"/>
      <w:lvlJc w:val="left"/>
      <w:pPr>
        <w:ind w:left="720" w:hanging="360"/>
      </w:pPr>
    </w:lvl>
    <w:lvl w:ilvl="1" w:tplc="01C42690">
      <w:numFmt w:val="decimal"/>
      <w:lvlText w:val=""/>
      <w:lvlJc w:val="left"/>
    </w:lvl>
    <w:lvl w:ilvl="2" w:tplc="CBF07428">
      <w:numFmt w:val="decimal"/>
      <w:lvlText w:val=""/>
      <w:lvlJc w:val="left"/>
    </w:lvl>
    <w:lvl w:ilvl="3" w:tplc="95068C7A">
      <w:numFmt w:val="decimal"/>
      <w:lvlText w:val=""/>
      <w:lvlJc w:val="left"/>
    </w:lvl>
    <w:lvl w:ilvl="4" w:tplc="BB44CA62">
      <w:numFmt w:val="decimal"/>
      <w:lvlText w:val=""/>
      <w:lvlJc w:val="left"/>
    </w:lvl>
    <w:lvl w:ilvl="5" w:tplc="C860C0CA">
      <w:numFmt w:val="decimal"/>
      <w:lvlText w:val=""/>
      <w:lvlJc w:val="left"/>
    </w:lvl>
    <w:lvl w:ilvl="6" w:tplc="AC3CECBC">
      <w:numFmt w:val="decimal"/>
      <w:lvlText w:val=""/>
      <w:lvlJc w:val="left"/>
    </w:lvl>
    <w:lvl w:ilvl="7" w:tplc="8280DADA">
      <w:numFmt w:val="decimal"/>
      <w:lvlText w:val=""/>
      <w:lvlJc w:val="left"/>
    </w:lvl>
    <w:lvl w:ilvl="8" w:tplc="82E0393E">
      <w:numFmt w:val="decimal"/>
      <w:lvlText w:val=""/>
      <w:lvlJc w:val="left"/>
    </w:lvl>
  </w:abstractNum>
  <w:abstractNum w:abstractNumId="4" w15:restartNumberingAfterBreak="0">
    <w:nsid w:val="58BE2DF7"/>
    <w:multiLevelType w:val="hybridMultilevel"/>
    <w:tmpl w:val="3E444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1658716">
    <w:abstractNumId w:val="0"/>
    <w:lvlOverride w:ilvl="0">
      <w:startOverride w:val="1"/>
    </w:lvlOverride>
  </w:num>
  <w:num w:numId="2" w16cid:durableId="257442885">
    <w:abstractNumId w:val="3"/>
    <w:lvlOverride w:ilvl="0">
      <w:startOverride w:val="1"/>
    </w:lvlOverride>
  </w:num>
  <w:num w:numId="3" w16cid:durableId="1713533310">
    <w:abstractNumId w:val="2"/>
    <w:lvlOverride w:ilvl="0">
      <w:startOverride w:val="1"/>
    </w:lvlOverride>
  </w:num>
  <w:num w:numId="4" w16cid:durableId="2475439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27C"/>
    <w:rsid w:val="000960FB"/>
    <w:rsid w:val="001E2EF2"/>
    <w:rsid w:val="00CF61BF"/>
    <w:rsid w:val="00D66795"/>
    <w:rsid w:val="00EC0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0847D"/>
  <w15:docId w15:val="{8A97DB9F-1933-496E-86F9-FCA1982EB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200"/>
      <w:outlineLvl w:val="0"/>
    </w:pPr>
    <w:rPr>
      <w:b/>
      <w:bCs/>
      <w:color w:val="1F4E79"/>
      <w:sz w:val="28"/>
      <w:szCs w:val="28"/>
    </w:rPr>
  </w:style>
  <w:style w:type="paragraph" w:styleId="Heading2">
    <w:name w:val="heading 2"/>
    <w:uiPriority w:val="9"/>
    <w:unhideWhenUsed/>
    <w:qFormat/>
    <w:pPr>
      <w:spacing w:before="280" w:after="160"/>
      <w:outlineLvl w:val="1"/>
    </w:pPr>
    <w:rPr>
      <w:b/>
      <w:bCs/>
      <w:color w:val="2E75B6"/>
      <w:sz w:val="24"/>
      <w:szCs w:val="24"/>
    </w:rPr>
  </w:style>
  <w:style w:type="paragraph" w:styleId="Heading3">
    <w:name w:val="heading 3"/>
    <w:uiPriority w:val="9"/>
    <w:unhideWhenUsed/>
    <w:qFormat/>
    <w:pPr>
      <w:spacing w:before="200" w:after="120"/>
      <w:outlineLvl w:val="2"/>
    </w:pPr>
    <w:rPr>
      <w:b/>
      <w:bCs/>
      <w:color w:val="404040"/>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66795"/>
    <w:pPr>
      <w:tabs>
        <w:tab w:val="center" w:pos="4680"/>
        <w:tab w:val="right" w:pos="9360"/>
      </w:tabs>
    </w:pPr>
  </w:style>
  <w:style w:type="character" w:customStyle="1" w:styleId="HeaderChar">
    <w:name w:val="Header Char"/>
    <w:basedOn w:val="DefaultParagraphFont"/>
    <w:link w:val="Header"/>
    <w:uiPriority w:val="99"/>
    <w:rsid w:val="00D66795"/>
  </w:style>
  <w:style w:type="paragraph" w:styleId="Footer">
    <w:name w:val="footer"/>
    <w:basedOn w:val="Normal"/>
    <w:link w:val="FooterChar"/>
    <w:uiPriority w:val="99"/>
    <w:unhideWhenUsed/>
    <w:rsid w:val="00D66795"/>
    <w:pPr>
      <w:tabs>
        <w:tab w:val="center" w:pos="4680"/>
        <w:tab w:val="right" w:pos="9360"/>
      </w:tabs>
    </w:pPr>
  </w:style>
  <w:style w:type="character" w:customStyle="1" w:styleId="FooterChar">
    <w:name w:val="Footer Char"/>
    <w:basedOn w:val="DefaultParagraphFont"/>
    <w:link w:val="Footer"/>
    <w:uiPriority w:val="99"/>
    <w:rsid w:val="00D66795"/>
  </w:style>
  <w:style w:type="table" w:styleId="TableGrid">
    <w:name w:val="Table Grid"/>
    <w:basedOn w:val="TableNormal"/>
    <w:uiPriority w:val="39"/>
    <w:rsid w:val="00D667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12</Pages>
  <Words>3348</Words>
  <Characters>19087</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Administrator</cp:lastModifiedBy>
  <cp:revision>2</cp:revision>
  <dcterms:created xsi:type="dcterms:W3CDTF">2026-09-25T12:14:00Z</dcterms:created>
  <dcterms:modified xsi:type="dcterms:W3CDTF">2026-09-25T13:00:00Z</dcterms:modified>
</cp:coreProperties>
</file>