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B5320" w14:textId="77777777" w:rsidR="00C751B4" w:rsidRDefault="00000000" w:rsidP="00C751B4">
      <w:pPr>
        <w:pStyle w:val="ListParagraph"/>
        <w:rPr>
          <w:rFonts w:ascii="Times New Roman" w:hAnsi="Times New Roman" w:cs="Times New Roman"/>
          <w:b/>
          <w:bCs/>
          <w:sz w:val="24"/>
          <w:szCs w:val="24"/>
        </w:rPr>
      </w:pPr>
      <w:r w:rsidRPr="00C751B4">
        <w:rPr>
          <w:rFonts w:ascii="Times New Roman" w:hAnsi="Times New Roman" w:cs="Times New Roman"/>
          <w:b/>
          <w:bCs/>
          <w:sz w:val="24"/>
          <w:szCs w:val="24"/>
        </w:rPr>
        <w:t>KENYA'S EMERGING GAS MARKET</w:t>
      </w:r>
      <w:r w:rsidR="00C751B4">
        <w:rPr>
          <w:rFonts w:ascii="Times New Roman" w:hAnsi="Times New Roman" w:cs="Times New Roman"/>
          <w:b/>
          <w:bCs/>
          <w:sz w:val="24"/>
          <w:szCs w:val="24"/>
        </w:rPr>
        <w:t xml:space="preserve"> </w:t>
      </w:r>
      <w:r w:rsidR="00C751B4" w:rsidRPr="00C751B4">
        <w:rPr>
          <w:rFonts w:ascii="Times New Roman" w:hAnsi="Times New Roman" w:cs="Times New Roman"/>
          <w:b/>
          <w:bCs/>
          <w:sz w:val="24"/>
          <w:szCs w:val="24"/>
        </w:rPr>
        <w:t>COMMERCIALIZATION PATHWAYS AND INVESTMENT OUTLOOK</w:t>
      </w:r>
    </w:p>
    <w:p w14:paraId="63D1D25D" w14:textId="77777777" w:rsidR="00C751B4" w:rsidRDefault="00C751B4" w:rsidP="00C751B4">
      <w:pPr>
        <w:pStyle w:val="ListParagraph"/>
        <w:rPr>
          <w:rFonts w:ascii="Times New Roman" w:hAnsi="Times New Roman" w:cs="Times New Roman"/>
          <w:b/>
          <w:bCs/>
          <w:sz w:val="24"/>
          <w:szCs w:val="24"/>
        </w:rPr>
      </w:pPr>
    </w:p>
    <w:p w14:paraId="21CA65C0" w14:textId="0340B0F8" w:rsidR="009110B9" w:rsidRDefault="00000000" w:rsidP="00C751B4">
      <w:pPr>
        <w:pStyle w:val="ListParagraph"/>
        <w:rPr>
          <w:rFonts w:ascii="Times New Roman" w:hAnsi="Times New Roman" w:cs="Times New Roman"/>
          <w:b/>
          <w:bCs/>
          <w:sz w:val="24"/>
          <w:szCs w:val="24"/>
        </w:rPr>
      </w:pPr>
      <w:r w:rsidRPr="00C751B4">
        <w:rPr>
          <w:rFonts w:ascii="Times New Roman" w:hAnsi="Times New Roman" w:cs="Times New Roman"/>
          <w:b/>
          <w:bCs/>
          <w:sz w:val="24"/>
          <w:szCs w:val="24"/>
        </w:rPr>
        <w:t>Executive Summary</w:t>
      </w:r>
    </w:p>
    <w:p w14:paraId="65DC4E83" w14:textId="77777777" w:rsidR="00C751B4" w:rsidRPr="00C751B4" w:rsidRDefault="00C751B4" w:rsidP="00C751B4">
      <w:pPr>
        <w:pStyle w:val="ListParagraph"/>
        <w:rPr>
          <w:rFonts w:ascii="Times New Roman" w:hAnsi="Times New Roman" w:cs="Times New Roman"/>
          <w:b/>
          <w:bCs/>
          <w:sz w:val="24"/>
          <w:szCs w:val="24"/>
        </w:rPr>
      </w:pPr>
    </w:p>
    <w:p w14:paraId="6CAE3F81"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Kenya stands at an inflection point in its hydrocarbon development trajectory. While commercial crude oil production from the South </w:t>
      </w:r>
      <w:proofErr w:type="spellStart"/>
      <w:r w:rsidRPr="00C751B4">
        <w:rPr>
          <w:rFonts w:ascii="Times New Roman" w:hAnsi="Times New Roman" w:cs="Times New Roman"/>
          <w:sz w:val="24"/>
          <w:szCs w:val="24"/>
        </w:rPr>
        <w:t>Lokichar</w:t>
      </w:r>
      <w:proofErr w:type="spellEnd"/>
      <w:r w:rsidRPr="00C751B4">
        <w:rPr>
          <w:rFonts w:ascii="Times New Roman" w:hAnsi="Times New Roman" w:cs="Times New Roman"/>
          <w:sz w:val="24"/>
          <w:szCs w:val="24"/>
        </w:rPr>
        <w:t xml:space="preserve"> (Turkana) basin is targeted for late 2026 under a revised Field Development Plan led by Gulf Energy, the country has yet to establish a domestic natural gas production base. Gas discoveries in the Anza Basin (Bogal-1, ~2.5 </w:t>
      </w:r>
      <w:proofErr w:type="spellStart"/>
      <w:r w:rsidRPr="00C751B4">
        <w:rPr>
          <w:rFonts w:ascii="Times New Roman" w:hAnsi="Times New Roman" w:cs="Times New Roman"/>
          <w:sz w:val="24"/>
          <w:szCs w:val="24"/>
        </w:rPr>
        <w:t>Tcf</w:t>
      </w:r>
      <w:proofErr w:type="spellEnd"/>
      <w:r w:rsidRPr="00C751B4">
        <w:rPr>
          <w:rFonts w:ascii="Times New Roman" w:hAnsi="Times New Roman" w:cs="Times New Roman"/>
          <w:sz w:val="24"/>
          <w:szCs w:val="24"/>
        </w:rPr>
        <w:t xml:space="preserve"> gas initially in place) and offshore Lamu Basin (Mbawa-1 and related shows) remain undeveloped. Consequently, Kenya’s emerging gas market is being shaped primarily by imported liquefied natural gas (LNG) for power generation and a rapidly expanding liquefied petroleum gas (LPG) value chain for clean cooking and industrial use.</w:t>
      </w:r>
    </w:p>
    <w:p w14:paraId="73C72003" w14:textId="3F430BAC"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The strategic imperative is clear: peak electricity demand has exceeded 2,500 MW, with government targets implying substantial capacity additions through 2030. Thermal generation currently relies on heavy fuel oil (HFO), which is costly and carbon-intensive. A planned 1,200 MW LNG-fired power plant at Dongo Kundu (phased 300 MW / 300 MW / 600 MW) and the conversion of existing HFO plants to natural gas by 2030 represent the primary near-term commercialization pathway for natural gas. Parallel growth in LPG demand</w:t>
      </w:r>
      <w:r w:rsidR="00C751B4">
        <w:rPr>
          <w:rFonts w:ascii="Times New Roman" w:hAnsi="Times New Roman" w:cs="Times New Roman"/>
          <w:sz w:val="24"/>
          <w:szCs w:val="24"/>
        </w:rPr>
        <w:t xml:space="preserve"> </w:t>
      </w:r>
      <w:r w:rsidRPr="00C751B4">
        <w:rPr>
          <w:rFonts w:ascii="Times New Roman" w:hAnsi="Times New Roman" w:cs="Times New Roman"/>
          <w:sz w:val="24"/>
          <w:szCs w:val="24"/>
        </w:rPr>
        <w:t>from approximately 415 kt in 2024 to a projected 589 kt by 2029 (baseline CAGR ~7.3%)</w:t>
      </w:r>
      <w:r w:rsidR="00C751B4">
        <w:rPr>
          <w:rFonts w:ascii="Times New Roman" w:hAnsi="Times New Roman" w:cs="Times New Roman"/>
          <w:sz w:val="24"/>
          <w:szCs w:val="24"/>
        </w:rPr>
        <w:t xml:space="preserve"> </w:t>
      </w:r>
      <w:r w:rsidRPr="00C751B4">
        <w:rPr>
          <w:rFonts w:ascii="Times New Roman" w:hAnsi="Times New Roman" w:cs="Times New Roman"/>
          <w:sz w:val="24"/>
          <w:szCs w:val="24"/>
        </w:rPr>
        <w:t>is driven by fiscal incentives (VAT zero-rating) and the National LPG Growth Strategy.</w:t>
      </w:r>
    </w:p>
    <w:p w14:paraId="44BF9A50" w14:textId="77777777" w:rsidR="00C751B4" w:rsidRDefault="00C751B4" w:rsidP="00C751B4">
      <w:pPr>
        <w:spacing w:after="120"/>
        <w:jc w:val="both"/>
        <w:rPr>
          <w:rFonts w:ascii="Times New Roman" w:hAnsi="Times New Roman" w:cs="Times New Roman"/>
          <w:sz w:val="24"/>
          <w:szCs w:val="24"/>
        </w:rPr>
      </w:pPr>
      <w:r>
        <w:rPr>
          <w:rFonts w:ascii="Times New Roman" w:hAnsi="Times New Roman" w:cs="Times New Roman"/>
          <w:sz w:val="24"/>
          <w:szCs w:val="24"/>
        </w:rPr>
        <w:t>T</w:t>
      </w:r>
      <w:r w:rsidRPr="00C751B4">
        <w:rPr>
          <w:rFonts w:ascii="Times New Roman" w:hAnsi="Times New Roman" w:cs="Times New Roman"/>
          <w:sz w:val="24"/>
          <w:szCs w:val="24"/>
        </w:rPr>
        <w:t>he critical path items are</w:t>
      </w:r>
    </w:p>
    <w:p w14:paraId="6D576BCE" w14:textId="500CFFA0" w:rsidR="00C751B4" w:rsidRPr="00C751B4" w:rsidRDefault="00C751B4" w:rsidP="00C751B4">
      <w:pPr>
        <w:spacing w:after="12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B</w:t>
      </w:r>
      <w:r w:rsidRPr="00C751B4">
        <w:rPr>
          <w:rFonts w:ascii="Times New Roman" w:hAnsi="Times New Roman" w:cs="Times New Roman"/>
          <w:sz w:val="24"/>
          <w:szCs w:val="24"/>
        </w:rPr>
        <w:t>ankable LNG import infrastructure (FSRU or onshore terminal) integrated with power offtake</w:t>
      </w:r>
    </w:p>
    <w:p w14:paraId="139661EC" w14:textId="77777777" w:rsid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(ii) </w:t>
      </w:r>
      <w:r w:rsidR="00C751B4">
        <w:rPr>
          <w:rFonts w:ascii="Times New Roman" w:hAnsi="Times New Roman" w:cs="Times New Roman"/>
          <w:sz w:val="24"/>
          <w:szCs w:val="24"/>
        </w:rPr>
        <w:t>R</w:t>
      </w:r>
      <w:r w:rsidRPr="00C751B4">
        <w:rPr>
          <w:rFonts w:ascii="Times New Roman" w:hAnsi="Times New Roman" w:cs="Times New Roman"/>
          <w:sz w:val="24"/>
          <w:szCs w:val="24"/>
        </w:rPr>
        <w:t>esolution of residual upstream gas appraisal and commerciality decisions in Anza and Lamu</w:t>
      </w:r>
    </w:p>
    <w:p w14:paraId="27C900F6" w14:textId="77777777" w:rsid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(iii) </w:t>
      </w:r>
      <w:r w:rsidR="00C751B4">
        <w:rPr>
          <w:rFonts w:ascii="Times New Roman" w:hAnsi="Times New Roman" w:cs="Times New Roman"/>
          <w:sz w:val="24"/>
          <w:szCs w:val="24"/>
        </w:rPr>
        <w:t>M</w:t>
      </w:r>
      <w:r w:rsidRPr="00C751B4">
        <w:rPr>
          <w:rFonts w:ascii="Times New Roman" w:hAnsi="Times New Roman" w:cs="Times New Roman"/>
          <w:sz w:val="24"/>
          <w:szCs w:val="24"/>
        </w:rPr>
        <w:t>idstream logistics for LPG (storage, secondary distribution, and open tender system)</w:t>
      </w:r>
    </w:p>
    <w:p w14:paraId="7A838607" w14:textId="77777777" w:rsid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(iv) </w:t>
      </w:r>
      <w:r w:rsidR="00C751B4">
        <w:rPr>
          <w:rFonts w:ascii="Times New Roman" w:hAnsi="Times New Roman" w:cs="Times New Roman"/>
          <w:sz w:val="24"/>
          <w:szCs w:val="24"/>
        </w:rPr>
        <w:t>A</w:t>
      </w:r>
      <w:r w:rsidRPr="00C751B4">
        <w:rPr>
          <w:rFonts w:ascii="Times New Roman" w:hAnsi="Times New Roman" w:cs="Times New Roman"/>
          <w:sz w:val="24"/>
          <w:szCs w:val="24"/>
        </w:rPr>
        <w:t xml:space="preserve"> coherent fiscal and regulatory package that de-risks private capital under the Petroleum Act 2019 and the 2025 National Petroleum Policy. </w:t>
      </w:r>
    </w:p>
    <w:p w14:paraId="3923FF83" w14:textId="47E25E4B"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Investment requirements across the gas-to-power and LPG chains are multi-billion-dollar in scale</w:t>
      </w:r>
      <w:r w:rsidR="00C751B4">
        <w:rPr>
          <w:rFonts w:ascii="Times New Roman" w:hAnsi="Times New Roman" w:cs="Times New Roman"/>
          <w:sz w:val="24"/>
          <w:szCs w:val="24"/>
        </w:rPr>
        <w:t>,</w:t>
      </w:r>
      <w:r w:rsidRPr="00C751B4">
        <w:rPr>
          <w:rFonts w:ascii="Times New Roman" w:hAnsi="Times New Roman" w:cs="Times New Roman"/>
          <w:sz w:val="24"/>
          <w:szCs w:val="24"/>
        </w:rPr>
        <w:t xml:space="preserve"> success hinges on disciplined project structuring, credible offtake, and alignment with Kenya’s renewable-dominant power system as a flexible transition fuel.</w:t>
      </w:r>
    </w:p>
    <w:p w14:paraId="350E1823" w14:textId="66D44258" w:rsidR="009110B9" w:rsidRPr="00C751B4" w:rsidRDefault="00000000" w:rsidP="00C751B4">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Geological Setting and Resource Base</w:t>
      </w:r>
    </w:p>
    <w:p w14:paraId="78C0BE7E" w14:textId="56AC89ED"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Sedimentary Basins and Petroleum Systems</w:t>
      </w:r>
    </w:p>
    <w:p w14:paraId="1558E86E"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Kenya’s hydrocarbon potential is distributed across four principal sedimentary basins covering approximately 490,000–500,000 km²:</w:t>
      </w:r>
    </w:p>
    <w:tbl>
      <w:tblPr>
        <w:tblStyle w:val="TableGrid"/>
        <w:tblW w:w="9445" w:type="dxa"/>
        <w:tblLook w:val="04A0" w:firstRow="1" w:lastRow="0" w:firstColumn="1" w:lastColumn="0" w:noHBand="0" w:noVBand="1"/>
      </w:tblPr>
      <w:tblGrid>
        <w:gridCol w:w="2200"/>
        <w:gridCol w:w="1665"/>
        <w:gridCol w:w="2430"/>
        <w:gridCol w:w="3150"/>
      </w:tblGrid>
      <w:tr w:rsidR="00C751B4" w:rsidRPr="00C751B4" w14:paraId="49F8B842" w14:textId="77777777" w:rsidTr="00C751B4">
        <w:tc>
          <w:tcPr>
            <w:tcW w:w="2200" w:type="dxa"/>
          </w:tcPr>
          <w:p w14:paraId="0ED972CB"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Basin</w:t>
            </w:r>
          </w:p>
        </w:tc>
        <w:tc>
          <w:tcPr>
            <w:tcW w:w="1665" w:type="dxa"/>
          </w:tcPr>
          <w:p w14:paraId="47159D61"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Area (km²)</w:t>
            </w:r>
          </w:p>
        </w:tc>
        <w:tc>
          <w:tcPr>
            <w:tcW w:w="2430" w:type="dxa"/>
          </w:tcPr>
          <w:p w14:paraId="23435E98"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Sediment Thickness</w:t>
            </w:r>
          </w:p>
        </w:tc>
        <w:tc>
          <w:tcPr>
            <w:tcW w:w="3150" w:type="dxa"/>
          </w:tcPr>
          <w:p w14:paraId="6A90A437"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Key Hydrocarbon Status</w:t>
            </w:r>
          </w:p>
        </w:tc>
      </w:tr>
      <w:tr w:rsidR="00C751B4" w:rsidRPr="00C751B4" w14:paraId="03CCA0E4" w14:textId="77777777" w:rsidTr="00C751B4">
        <w:tc>
          <w:tcPr>
            <w:tcW w:w="2200" w:type="dxa"/>
          </w:tcPr>
          <w:p w14:paraId="65C1937E"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Lamu (on/offshore)</w:t>
            </w:r>
          </w:p>
        </w:tc>
        <w:tc>
          <w:tcPr>
            <w:tcW w:w="1665" w:type="dxa"/>
          </w:tcPr>
          <w:p w14:paraId="4E44289B"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261,000</w:t>
            </w:r>
          </w:p>
        </w:tc>
        <w:tc>
          <w:tcPr>
            <w:tcW w:w="2430" w:type="dxa"/>
          </w:tcPr>
          <w:p w14:paraId="27D6A85D"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Up to 12,000 m</w:t>
            </w:r>
          </w:p>
        </w:tc>
        <w:tc>
          <w:tcPr>
            <w:tcW w:w="3150" w:type="dxa"/>
          </w:tcPr>
          <w:p w14:paraId="7105BA65"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Gas &amp; oil shows; Mbawa-1 gas</w:t>
            </w:r>
          </w:p>
        </w:tc>
      </w:tr>
      <w:tr w:rsidR="00C751B4" w:rsidRPr="00C751B4" w14:paraId="4CB5D0FD" w14:textId="77777777" w:rsidTr="00C751B4">
        <w:tc>
          <w:tcPr>
            <w:tcW w:w="2200" w:type="dxa"/>
          </w:tcPr>
          <w:p w14:paraId="5C450964"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Anza</w:t>
            </w:r>
          </w:p>
        </w:tc>
        <w:tc>
          <w:tcPr>
            <w:tcW w:w="1665" w:type="dxa"/>
          </w:tcPr>
          <w:p w14:paraId="5F8634DE"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81,391</w:t>
            </w:r>
          </w:p>
        </w:tc>
        <w:tc>
          <w:tcPr>
            <w:tcW w:w="2430" w:type="dxa"/>
          </w:tcPr>
          <w:p w14:paraId="3AA705EF"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Up to 10,000 m</w:t>
            </w:r>
          </w:p>
        </w:tc>
        <w:tc>
          <w:tcPr>
            <w:tcW w:w="3150" w:type="dxa"/>
          </w:tcPr>
          <w:p w14:paraId="349B8122"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 xml:space="preserve">Bogal-1: ~2.5 </w:t>
            </w:r>
            <w:proofErr w:type="spellStart"/>
            <w:r w:rsidRPr="00C751B4">
              <w:rPr>
                <w:rFonts w:ascii="Times New Roman" w:hAnsi="Times New Roman" w:cs="Times New Roman"/>
                <w:sz w:val="24"/>
                <w:szCs w:val="24"/>
              </w:rPr>
              <w:t>Tcf</w:t>
            </w:r>
            <w:proofErr w:type="spellEnd"/>
            <w:r w:rsidRPr="00C751B4">
              <w:rPr>
                <w:rFonts w:ascii="Times New Roman" w:hAnsi="Times New Roman" w:cs="Times New Roman"/>
                <w:sz w:val="24"/>
                <w:szCs w:val="24"/>
              </w:rPr>
              <w:t xml:space="preserve"> GIIP</w:t>
            </w:r>
          </w:p>
        </w:tc>
      </w:tr>
      <w:tr w:rsidR="00C751B4" w:rsidRPr="00C751B4" w14:paraId="61FF7103" w14:textId="77777777" w:rsidTr="00C751B4">
        <w:tc>
          <w:tcPr>
            <w:tcW w:w="2200" w:type="dxa"/>
          </w:tcPr>
          <w:p w14:paraId="761F595E"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Tertiary Rift</w:t>
            </w:r>
          </w:p>
        </w:tc>
        <w:tc>
          <w:tcPr>
            <w:tcW w:w="1665" w:type="dxa"/>
          </w:tcPr>
          <w:p w14:paraId="2BB454B9"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~105,673</w:t>
            </w:r>
          </w:p>
        </w:tc>
        <w:tc>
          <w:tcPr>
            <w:tcW w:w="2430" w:type="dxa"/>
          </w:tcPr>
          <w:p w14:paraId="40231480"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Up to 4,000 m</w:t>
            </w:r>
          </w:p>
        </w:tc>
        <w:tc>
          <w:tcPr>
            <w:tcW w:w="3150" w:type="dxa"/>
          </w:tcPr>
          <w:p w14:paraId="1CD63D6E"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 xml:space="preserve">South </w:t>
            </w:r>
            <w:proofErr w:type="spellStart"/>
            <w:r w:rsidRPr="00C751B4">
              <w:rPr>
                <w:rFonts w:ascii="Times New Roman" w:hAnsi="Times New Roman" w:cs="Times New Roman"/>
                <w:sz w:val="24"/>
                <w:szCs w:val="24"/>
              </w:rPr>
              <w:t>Lokichar</w:t>
            </w:r>
            <w:proofErr w:type="spellEnd"/>
            <w:r w:rsidRPr="00C751B4">
              <w:rPr>
                <w:rFonts w:ascii="Times New Roman" w:hAnsi="Times New Roman" w:cs="Times New Roman"/>
                <w:sz w:val="24"/>
                <w:szCs w:val="24"/>
              </w:rPr>
              <w:t xml:space="preserve"> oil (~560 </w:t>
            </w:r>
            <w:proofErr w:type="spellStart"/>
            <w:r w:rsidRPr="00C751B4">
              <w:rPr>
                <w:rFonts w:ascii="Times New Roman" w:hAnsi="Times New Roman" w:cs="Times New Roman"/>
                <w:sz w:val="24"/>
                <w:szCs w:val="24"/>
              </w:rPr>
              <w:t>MMbbl</w:t>
            </w:r>
            <w:proofErr w:type="spellEnd"/>
            <w:r w:rsidRPr="00C751B4">
              <w:rPr>
                <w:rFonts w:ascii="Times New Roman" w:hAnsi="Times New Roman" w:cs="Times New Roman"/>
                <w:sz w:val="24"/>
                <w:szCs w:val="24"/>
              </w:rPr>
              <w:t>)</w:t>
            </w:r>
          </w:p>
        </w:tc>
      </w:tr>
      <w:tr w:rsidR="00C751B4" w:rsidRPr="00C751B4" w14:paraId="6AD8CE01" w14:textId="77777777" w:rsidTr="00C751B4">
        <w:tc>
          <w:tcPr>
            <w:tcW w:w="2200" w:type="dxa"/>
          </w:tcPr>
          <w:p w14:paraId="1F9F67F1"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lastRenderedPageBreak/>
              <w:t>Mandera</w:t>
            </w:r>
          </w:p>
        </w:tc>
        <w:tc>
          <w:tcPr>
            <w:tcW w:w="1665" w:type="dxa"/>
          </w:tcPr>
          <w:p w14:paraId="416358F3"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43,404</w:t>
            </w:r>
          </w:p>
        </w:tc>
        <w:tc>
          <w:tcPr>
            <w:tcW w:w="2430" w:type="dxa"/>
          </w:tcPr>
          <w:p w14:paraId="1B58384C"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Up to 10,000 m</w:t>
            </w:r>
          </w:p>
        </w:tc>
        <w:tc>
          <w:tcPr>
            <w:tcW w:w="3150" w:type="dxa"/>
          </w:tcPr>
          <w:p w14:paraId="2274832B"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Limited drilling; under-explored</w:t>
            </w:r>
          </w:p>
        </w:tc>
      </w:tr>
    </w:tbl>
    <w:p w14:paraId="1A63DDD9" w14:textId="77777777" w:rsidR="009110B9" w:rsidRPr="00C751B4" w:rsidRDefault="00000000" w:rsidP="00C751B4">
      <w:pPr>
        <w:spacing w:before="160" w:after="120"/>
        <w:jc w:val="both"/>
        <w:rPr>
          <w:rFonts w:ascii="Times New Roman" w:hAnsi="Times New Roman" w:cs="Times New Roman"/>
          <w:sz w:val="24"/>
          <w:szCs w:val="24"/>
        </w:rPr>
      </w:pPr>
      <w:r w:rsidRPr="00C751B4">
        <w:rPr>
          <w:rFonts w:ascii="Times New Roman" w:hAnsi="Times New Roman" w:cs="Times New Roman"/>
          <w:sz w:val="24"/>
          <w:szCs w:val="24"/>
        </w:rPr>
        <w:t xml:space="preserve">The Lamu Basin is the largest and geologically most complex, with Paleozoic to Cenozoic sequences and dominant Type III kerogen, </w:t>
      </w:r>
      <w:proofErr w:type="spellStart"/>
      <w:r w:rsidRPr="00C751B4">
        <w:rPr>
          <w:rFonts w:ascii="Times New Roman" w:hAnsi="Times New Roman" w:cs="Times New Roman"/>
          <w:sz w:val="24"/>
          <w:szCs w:val="24"/>
        </w:rPr>
        <w:t>favouring</w:t>
      </w:r>
      <w:proofErr w:type="spellEnd"/>
      <w:r w:rsidRPr="00C751B4">
        <w:rPr>
          <w:rFonts w:ascii="Times New Roman" w:hAnsi="Times New Roman" w:cs="Times New Roman"/>
          <w:sz w:val="24"/>
          <w:szCs w:val="24"/>
        </w:rPr>
        <w:t xml:space="preserve"> gas generation. Late Cretaceous and Paleogene intervals host the principal reservoir-seal pairs. Offshore deep-water and slope settings remain under-explored relative to East African analogues (Rovuma, Tanzania). Anza Basin discoveries (Bogal-1, 2009; Sala-1 gas zones) demonstrate gas-prone systems but have not progressed to commercial development, constrained by reservoir quality, deliverability, and distance to market.</w:t>
      </w:r>
    </w:p>
    <w:p w14:paraId="04428D73" w14:textId="5D79659D"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Status of Gas Discoveries</w:t>
      </w:r>
    </w:p>
    <w:p w14:paraId="0839306D"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No commercial natural gas production exists in Kenya. Key technical observations:</w:t>
      </w:r>
    </w:p>
    <w:p w14:paraId="15036931" w14:textId="77777777" w:rsidR="009110B9" w:rsidRPr="00C751B4" w:rsidRDefault="00000000" w:rsidP="00C751B4">
      <w:pPr>
        <w:pStyle w:val="ListParagraph"/>
        <w:numPr>
          <w:ilvl w:val="0"/>
          <w:numId w:val="2"/>
        </w:numPr>
        <w:jc w:val="both"/>
        <w:rPr>
          <w:rFonts w:ascii="Times New Roman" w:hAnsi="Times New Roman" w:cs="Times New Roman"/>
          <w:sz w:val="24"/>
          <w:szCs w:val="24"/>
        </w:rPr>
      </w:pPr>
      <w:r w:rsidRPr="00C751B4">
        <w:rPr>
          <w:rFonts w:ascii="Times New Roman" w:hAnsi="Times New Roman" w:cs="Times New Roman"/>
          <w:sz w:val="24"/>
          <w:szCs w:val="24"/>
        </w:rPr>
        <w:t xml:space="preserve">Bogal-1 (Anza): Gross best-estimate GIIP of approximately 2.5 </w:t>
      </w:r>
      <w:proofErr w:type="spellStart"/>
      <w:r w:rsidRPr="00C751B4">
        <w:rPr>
          <w:rFonts w:ascii="Times New Roman" w:hAnsi="Times New Roman" w:cs="Times New Roman"/>
          <w:sz w:val="24"/>
          <w:szCs w:val="24"/>
        </w:rPr>
        <w:t>Tcf</w:t>
      </w:r>
      <w:proofErr w:type="spellEnd"/>
      <w:r w:rsidRPr="00C751B4">
        <w:rPr>
          <w:rFonts w:ascii="Times New Roman" w:hAnsi="Times New Roman" w:cs="Times New Roman"/>
          <w:sz w:val="24"/>
          <w:szCs w:val="24"/>
        </w:rPr>
        <w:t>. Further appraisal would be required to confirm recoverable volumes, well deliverability, and development concept (possibly tied to local power or pipeline export).</w:t>
      </w:r>
    </w:p>
    <w:p w14:paraId="3EE73AFE" w14:textId="77777777" w:rsidR="009110B9" w:rsidRPr="00C751B4" w:rsidRDefault="00000000" w:rsidP="00C751B4">
      <w:pPr>
        <w:pStyle w:val="ListParagraph"/>
        <w:numPr>
          <w:ilvl w:val="0"/>
          <w:numId w:val="2"/>
        </w:numPr>
        <w:jc w:val="both"/>
        <w:rPr>
          <w:rFonts w:ascii="Times New Roman" w:hAnsi="Times New Roman" w:cs="Times New Roman"/>
          <w:sz w:val="24"/>
          <w:szCs w:val="24"/>
        </w:rPr>
      </w:pPr>
      <w:r w:rsidRPr="00C751B4">
        <w:rPr>
          <w:rFonts w:ascii="Times New Roman" w:hAnsi="Times New Roman" w:cs="Times New Roman"/>
          <w:sz w:val="24"/>
          <w:szCs w:val="24"/>
        </w:rPr>
        <w:t>Offshore Lamu (Mbawa-1 and related): Substantive gas pay encountered; subsequent wells (Sunbird-1 oil &amp; gas shows; Mlima-1 dry) indicate a working petroleum system but high exploration risk and deep-water cost structure.</w:t>
      </w:r>
    </w:p>
    <w:p w14:paraId="47CEF2F9" w14:textId="77777777" w:rsidR="009110B9" w:rsidRPr="00C751B4" w:rsidRDefault="00000000" w:rsidP="00C751B4">
      <w:pPr>
        <w:pStyle w:val="ListParagraph"/>
        <w:numPr>
          <w:ilvl w:val="0"/>
          <w:numId w:val="2"/>
        </w:num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Block restructuring (2025): Petroleum blocks reduced from 63 to 50 (29 Lamu, 12 Tertiary Rift, 6 Anza, 3 Mandera) to </w:t>
      </w:r>
      <w:proofErr w:type="spellStart"/>
      <w:r w:rsidRPr="00C751B4">
        <w:rPr>
          <w:rFonts w:ascii="Times New Roman" w:hAnsi="Times New Roman" w:cs="Times New Roman"/>
          <w:sz w:val="24"/>
          <w:szCs w:val="24"/>
        </w:rPr>
        <w:t>optimise</w:t>
      </w:r>
      <w:proofErr w:type="spellEnd"/>
      <w:r w:rsidRPr="00C751B4">
        <w:rPr>
          <w:rFonts w:ascii="Times New Roman" w:hAnsi="Times New Roman" w:cs="Times New Roman"/>
          <w:sz w:val="24"/>
          <w:szCs w:val="24"/>
        </w:rPr>
        <w:t xml:space="preserve"> size and data packaging for a new licensing round targeting high-potential open acreage.</w:t>
      </w:r>
    </w:p>
    <w:p w14:paraId="694C05FC"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From a reservoir engineering perspective, </w:t>
      </w:r>
      <w:proofErr w:type="spellStart"/>
      <w:r w:rsidRPr="00C751B4">
        <w:rPr>
          <w:rFonts w:ascii="Times New Roman" w:hAnsi="Times New Roman" w:cs="Times New Roman"/>
          <w:sz w:val="24"/>
          <w:szCs w:val="24"/>
        </w:rPr>
        <w:t>commercialisation</w:t>
      </w:r>
      <w:proofErr w:type="spellEnd"/>
      <w:r w:rsidRPr="00C751B4">
        <w:rPr>
          <w:rFonts w:ascii="Times New Roman" w:hAnsi="Times New Roman" w:cs="Times New Roman"/>
          <w:sz w:val="24"/>
          <w:szCs w:val="24"/>
        </w:rPr>
        <w:t xml:space="preserve"> of these gas resources requires integrated evaluation of net pay, porosity-permeability, fluid properties, aquifer support, and development well count versus recoverable volume. In the absence of near-term domestic gas supply, imported LNG is the only scalable feedstock for large-scale gas-to-power.</w:t>
      </w:r>
    </w:p>
    <w:p w14:paraId="248E71FC" w14:textId="019D60D0" w:rsidR="009110B9" w:rsidRPr="00C751B4" w:rsidRDefault="00000000" w:rsidP="00C751B4">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Market Structure and Demand Dynamics</w:t>
      </w:r>
    </w:p>
    <w:p w14:paraId="07B7976F" w14:textId="620AFEF1"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Power Sector as Anchor Demand</w:t>
      </w:r>
    </w:p>
    <w:p w14:paraId="29392A5C"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Kenya’s installed capacity stands at approximately 3,800–3,900 MW, with renewables (geothermal, hydro, wind, solar) contributing ~80–83% of generation. Peak demand has risen from ~2,170 MW (2023) to over 2,500 MW (mid-2026), with LCPDP scenarios projecting multi-fold growth by 2043. Thermal capacity (primarily HFO medium-speed diesel) provides system flexibility and backup but at high variable cost and emissions intensity.</w:t>
      </w:r>
    </w:p>
    <w:p w14:paraId="111AC545"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Natural gas is positioned as a transition fuel: lower CO₂ intensity than HFO or coal, rapid-response capability to complement intermittent renewables, and alignment with NDC pathways that still require firm capacity through the 2030s. The planned Dongo Kundu LNG plant (ultimate 1,200 MW) and HFO-to-gas conversion </w:t>
      </w:r>
      <w:proofErr w:type="spellStart"/>
      <w:r w:rsidRPr="00C751B4">
        <w:rPr>
          <w:rFonts w:ascii="Times New Roman" w:hAnsi="Times New Roman" w:cs="Times New Roman"/>
          <w:sz w:val="24"/>
          <w:szCs w:val="24"/>
        </w:rPr>
        <w:t>programme</w:t>
      </w:r>
      <w:proofErr w:type="spellEnd"/>
      <w:r w:rsidRPr="00C751B4">
        <w:rPr>
          <w:rFonts w:ascii="Times New Roman" w:hAnsi="Times New Roman" w:cs="Times New Roman"/>
          <w:sz w:val="24"/>
          <w:szCs w:val="24"/>
        </w:rPr>
        <w:t xml:space="preserve"> constitute the principal near-term gas demand </w:t>
      </w:r>
      <w:proofErr w:type="spellStart"/>
      <w:r w:rsidRPr="00C751B4">
        <w:rPr>
          <w:rFonts w:ascii="Times New Roman" w:hAnsi="Times New Roman" w:cs="Times New Roman"/>
          <w:sz w:val="24"/>
          <w:szCs w:val="24"/>
        </w:rPr>
        <w:t>centres</w:t>
      </w:r>
      <w:proofErr w:type="spellEnd"/>
      <w:r w:rsidRPr="00C751B4">
        <w:rPr>
          <w:rFonts w:ascii="Times New Roman" w:hAnsi="Times New Roman" w:cs="Times New Roman"/>
          <w:sz w:val="24"/>
          <w:szCs w:val="24"/>
        </w:rPr>
        <w:t>. Indicative phasing contemplates 300 MW before 2027, an additional 300 MW by 2028, and further expansion thereafter.</w:t>
      </w:r>
    </w:p>
    <w:p w14:paraId="74C1A4E9" w14:textId="77777777" w:rsidR="00736FB2" w:rsidRDefault="00736FB2" w:rsidP="00C751B4">
      <w:pPr>
        <w:pStyle w:val="Heading2"/>
        <w:jc w:val="both"/>
        <w:rPr>
          <w:rFonts w:ascii="Times New Roman" w:hAnsi="Times New Roman" w:cs="Times New Roman"/>
          <w:color w:val="auto"/>
        </w:rPr>
      </w:pPr>
    </w:p>
    <w:p w14:paraId="4B0EA43C" w14:textId="0109EC7A"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lastRenderedPageBreak/>
        <w:t>LPG Demand Trajectory</w:t>
      </w:r>
    </w:p>
    <w:p w14:paraId="0BBF662B"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LPG is the fastest-growing petroleum product segment. EPRA and industry data indicate:</w:t>
      </w:r>
    </w:p>
    <w:tbl>
      <w:tblPr>
        <w:tblStyle w:val="TableGrid"/>
        <w:tblW w:w="9265" w:type="dxa"/>
        <w:tblLook w:val="04A0" w:firstRow="1" w:lastRow="0" w:firstColumn="1" w:lastColumn="0" w:noHBand="0" w:noVBand="1"/>
      </w:tblPr>
      <w:tblGrid>
        <w:gridCol w:w="2520"/>
        <w:gridCol w:w="1345"/>
        <w:gridCol w:w="1890"/>
        <w:gridCol w:w="3510"/>
      </w:tblGrid>
      <w:tr w:rsidR="00C751B4" w:rsidRPr="00C751B4" w14:paraId="37421A9C" w14:textId="77777777" w:rsidTr="00736FB2">
        <w:tc>
          <w:tcPr>
            <w:tcW w:w="2520" w:type="dxa"/>
          </w:tcPr>
          <w:p w14:paraId="48BF4754"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Metric</w:t>
            </w:r>
          </w:p>
        </w:tc>
        <w:tc>
          <w:tcPr>
            <w:tcW w:w="1345" w:type="dxa"/>
          </w:tcPr>
          <w:p w14:paraId="6D2034D5"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2024</w:t>
            </w:r>
          </w:p>
        </w:tc>
        <w:tc>
          <w:tcPr>
            <w:tcW w:w="1890" w:type="dxa"/>
          </w:tcPr>
          <w:p w14:paraId="0797CEFC"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2025</w:t>
            </w:r>
          </w:p>
        </w:tc>
        <w:tc>
          <w:tcPr>
            <w:tcW w:w="3510" w:type="dxa"/>
          </w:tcPr>
          <w:p w14:paraId="65EC59E9"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2029 (Baseline)</w:t>
            </w:r>
          </w:p>
        </w:tc>
      </w:tr>
      <w:tr w:rsidR="00C751B4" w:rsidRPr="00C751B4" w14:paraId="1C8D6845" w14:textId="77777777" w:rsidTr="00736FB2">
        <w:tc>
          <w:tcPr>
            <w:tcW w:w="2520" w:type="dxa"/>
          </w:tcPr>
          <w:p w14:paraId="7E0399C6"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LPG Demand (kt)</w:t>
            </w:r>
          </w:p>
        </w:tc>
        <w:tc>
          <w:tcPr>
            <w:tcW w:w="1345" w:type="dxa"/>
          </w:tcPr>
          <w:p w14:paraId="6B2F4F97"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~415</w:t>
            </w:r>
          </w:p>
        </w:tc>
        <w:tc>
          <w:tcPr>
            <w:tcW w:w="1890" w:type="dxa"/>
          </w:tcPr>
          <w:p w14:paraId="110D4E11"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~476 (+14.7%)</w:t>
            </w:r>
          </w:p>
        </w:tc>
        <w:tc>
          <w:tcPr>
            <w:tcW w:w="3510" w:type="dxa"/>
          </w:tcPr>
          <w:p w14:paraId="46789F8B"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~589</w:t>
            </w:r>
          </w:p>
        </w:tc>
      </w:tr>
      <w:tr w:rsidR="00C751B4" w:rsidRPr="00C751B4" w14:paraId="51A769F1" w14:textId="77777777" w:rsidTr="00736FB2">
        <w:tc>
          <w:tcPr>
            <w:tcW w:w="2520" w:type="dxa"/>
          </w:tcPr>
          <w:p w14:paraId="77E5F18F"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Per Capita (kg)</w:t>
            </w:r>
          </w:p>
        </w:tc>
        <w:tc>
          <w:tcPr>
            <w:tcW w:w="1345" w:type="dxa"/>
          </w:tcPr>
          <w:p w14:paraId="4B70FAA0"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~7.9</w:t>
            </w:r>
          </w:p>
        </w:tc>
        <w:tc>
          <w:tcPr>
            <w:tcW w:w="1890" w:type="dxa"/>
          </w:tcPr>
          <w:p w14:paraId="484BB9BF"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~8.9</w:t>
            </w:r>
          </w:p>
        </w:tc>
        <w:tc>
          <w:tcPr>
            <w:tcW w:w="3510" w:type="dxa"/>
          </w:tcPr>
          <w:p w14:paraId="1C21A443"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Rising toward strategy targets</w:t>
            </w:r>
          </w:p>
        </w:tc>
      </w:tr>
    </w:tbl>
    <w:p w14:paraId="1E9826F5" w14:textId="77777777" w:rsidR="009110B9" w:rsidRPr="00C751B4" w:rsidRDefault="00000000" w:rsidP="00C751B4">
      <w:pPr>
        <w:spacing w:before="160" w:after="120"/>
        <w:jc w:val="both"/>
        <w:rPr>
          <w:rFonts w:ascii="Times New Roman" w:hAnsi="Times New Roman" w:cs="Times New Roman"/>
          <w:sz w:val="24"/>
          <w:szCs w:val="24"/>
        </w:rPr>
      </w:pPr>
      <w:r w:rsidRPr="00C751B4">
        <w:rPr>
          <w:rFonts w:ascii="Times New Roman" w:hAnsi="Times New Roman" w:cs="Times New Roman"/>
          <w:sz w:val="24"/>
          <w:szCs w:val="24"/>
        </w:rPr>
        <w:t xml:space="preserve">Drivers include VAT zero-rating (2023), the National LPG Growth Strategy (targeting substantial penetration increase by end-decade), institutional conversion (schools, public facilities), and cylinder distribution </w:t>
      </w:r>
      <w:proofErr w:type="spellStart"/>
      <w:r w:rsidRPr="00C751B4">
        <w:rPr>
          <w:rFonts w:ascii="Times New Roman" w:hAnsi="Times New Roman" w:cs="Times New Roman"/>
          <w:sz w:val="24"/>
          <w:szCs w:val="24"/>
        </w:rPr>
        <w:t>programmes</w:t>
      </w:r>
      <w:proofErr w:type="spellEnd"/>
      <w:r w:rsidRPr="00C751B4">
        <w:rPr>
          <w:rFonts w:ascii="Times New Roman" w:hAnsi="Times New Roman" w:cs="Times New Roman"/>
          <w:sz w:val="24"/>
          <w:szCs w:val="24"/>
        </w:rPr>
        <w:t xml:space="preserve">. New bulk storage (Lake Gas ~10 kt </w:t>
      </w:r>
      <w:proofErr w:type="spellStart"/>
      <w:r w:rsidRPr="00C751B4">
        <w:rPr>
          <w:rFonts w:ascii="Times New Roman" w:hAnsi="Times New Roman" w:cs="Times New Roman"/>
          <w:sz w:val="24"/>
          <w:szCs w:val="24"/>
        </w:rPr>
        <w:t>Vipingo</w:t>
      </w:r>
      <w:proofErr w:type="spellEnd"/>
      <w:r w:rsidRPr="00C751B4">
        <w:rPr>
          <w:rFonts w:ascii="Times New Roman" w:hAnsi="Times New Roman" w:cs="Times New Roman"/>
          <w:sz w:val="24"/>
          <w:szCs w:val="24"/>
        </w:rPr>
        <w:t xml:space="preserve">; </w:t>
      </w:r>
      <w:proofErr w:type="spellStart"/>
      <w:r w:rsidRPr="00C751B4">
        <w:rPr>
          <w:rFonts w:ascii="Times New Roman" w:hAnsi="Times New Roman" w:cs="Times New Roman"/>
          <w:sz w:val="24"/>
          <w:szCs w:val="24"/>
        </w:rPr>
        <w:t>Asharami</w:t>
      </w:r>
      <w:proofErr w:type="spellEnd"/>
      <w:r w:rsidRPr="00C751B4">
        <w:rPr>
          <w:rFonts w:ascii="Times New Roman" w:hAnsi="Times New Roman" w:cs="Times New Roman"/>
          <w:sz w:val="24"/>
          <w:szCs w:val="24"/>
        </w:rPr>
        <w:t xml:space="preserve"> ~30 kt) and planned Open Tender System (OTS) for LPG imports are expected to improve competition and supply reliability. Kerosene demand continues long-term structural decline as households and institutions switch to LPG and electricity.</w:t>
      </w:r>
    </w:p>
    <w:p w14:paraId="4E1B47C4" w14:textId="6BA37AD3"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Industrial and Other Demand</w:t>
      </w:r>
    </w:p>
    <w:p w14:paraId="079CFDFA" w14:textId="1F42BFCC"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Beyond power and cooking, potential gas demand exists in cement, </w:t>
      </w:r>
      <w:r w:rsidR="00736FB2" w:rsidRPr="00C751B4">
        <w:rPr>
          <w:rFonts w:ascii="Times New Roman" w:hAnsi="Times New Roman" w:cs="Times New Roman"/>
          <w:sz w:val="24"/>
          <w:szCs w:val="24"/>
        </w:rPr>
        <w:t>fertilizer</w:t>
      </w:r>
      <w:r w:rsidRPr="00C751B4">
        <w:rPr>
          <w:rFonts w:ascii="Times New Roman" w:hAnsi="Times New Roman" w:cs="Times New Roman"/>
          <w:sz w:val="24"/>
          <w:szCs w:val="24"/>
        </w:rPr>
        <w:t xml:space="preserve">, steel, and petrochemicals, and as a feedstock for future blue/green hydrogen or ammonia pathways. </w:t>
      </w:r>
      <w:r w:rsidR="00736FB2" w:rsidRPr="00C751B4">
        <w:rPr>
          <w:rFonts w:ascii="Times New Roman" w:hAnsi="Times New Roman" w:cs="Times New Roman"/>
          <w:sz w:val="24"/>
          <w:szCs w:val="24"/>
        </w:rPr>
        <w:t>Realization</w:t>
      </w:r>
      <w:r w:rsidRPr="00C751B4">
        <w:rPr>
          <w:rFonts w:ascii="Times New Roman" w:hAnsi="Times New Roman" w:cs="Times New Roman"/>
          <w:sz w:val="24"/>
          <w:szCs w:val="24"/>
        </w:rPr>
        <w:t xml:space="preserve"> depends on delivered gas price, pipeline or virtual pipeline logistics, and industrial policy. At present, these segments are secondary to power and LPG in the near-term commercialization hierarchy.</w:t>
      </w:r>
    </w:p>
    <w:p w14:paraId="2CC81625" w14:textId="66FB8A50" w:rsidR="009110B9" w:rsidRPr="00C751B4" w:rsidRDefault="00000000" w:rsidP="00C751B4">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Commercialization Pathways</w:t>
      </w:r>
    </w:p>
    <w:p w14:paraId="1306575F" w14:textId="4B630F65"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Pathway 1: Imported LNG for Power Generation</w:t>
      </w:r>
    </w:p>
    <w:p w14:paraId="75528763"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This is the dominant near-term pathway. Key technical and commercial elements include:</w:t>
      </w:r>
    </w:p>
    <w:p w14:paraId="7A20E3C9" w14:textId="77777777" w:rsidR="009110B9" w:rsidRPr="00C751B4" w:rsidRDefault="00000000" w:rsidP="00C751B4">
      <w:pPr>
        <w:pStyle w:val="ListParagraph"/>
        <w:numPr>
          <w:ilvl w:val="0"/>
          <w:numId w:val="3"/>
        </w:numPr>
        <w:jc w:val="both"/>
        <w:rPr>
          <w:rFonts w:ascii="Times New Roman" w:hAnsi="Times New Roman" w:cs="Times New Roman"/>
          <w:sz w:val="24"/>
          <w:szCs w:val="24"/>
        </w:rPr>
      </w:pPr>
      <w:r w:rsidRPr="00C751B4">
        <w:rPr>
          <w:rFonts w:ascii="Times New Roman" w:hAnsi="Times New Roman" w:cs="Times New Roman"/>
          <w:sz w:val="24"/>
          <w:szCs w:val="24"/>
        </w:rPr>
        <w:t xml:space="preserve">Import Terminal Configuration: Feasibility work has evaluated FSRU + jetty, onshore storage + regasification, and hybrid options at Dongo Kundu and alternative Mombasa sites. Preferred concepts balance capital intensity, schedule, </w:t>
      </w:r>
      <w:proofErr w:type="spellStart"/>
      <w:r w:rsidRPr="00C751B4">
        <w:rPr>
          <w:rFonts w:ascii="Times New Roman" w:hAnsi="Times New Roman" w:cs="Times New Roman"/>
          <w:sz w:val="24"/>
          <w:szCs w:val="24"/>
        </w:rPr>
        <w:t>redeployability</w:t>
      </w:r>
      <w:proofErr w:type="spellEnd"/>
      <w:r w:rsidRPr="00C751B4">
        <w:rPr>
          <w:rFonts w:ascii="Times New Roman" w:hAnsi="Times New Roman" w:cs="Times New Roman"/>
          <w:sz w:val="24"/>
          <w:szCs w:val="24"/>
        </w:rPr>
        <w:t>, and integration with existing AGOL/KOT infrastructure.</w:t>
      </w:r>
    </w:p>
    <w:p w14:paraId="5ACF9BEA" w14:textId="77777777" w:rsidR="009110B9" w:rsidRPr="00C751B4" w:rsidRDefault="00000000" w:rsidP="00C751B4">
      <w:pPr>
        <w:pStyle w:val="ListParagraph"/>
        <w:numPr>
          <w:ilvl w:val="0"/>
          <w:numId w:val="3"/>
        </w:numPr>
        <w:jc w:val="both"/>
        <w:rPr>
          <w:rFonts w:ascii="Times New Roman" w:hAnsi="Times New Roman" w:cs="Times New Roman"/>
          <w:sz w:val="24"/>
          <w:szCs w:val="24"/>
        </w:rPr>
      </w:pPr>
      <w:r w:rsidRPr="00C751B4">
        <w:rPr>
          <w:rFonts w:ascii="Times New Roman" w:hAnsi="Times New Roman" w:cs="Times New Roman"/>
          <w:sz w:val="24"/>
          <w:szCs w:val="24"/>
        </w:rPr>
        <w:t>Power Plant: Combined-cycle or open-cycle gas turbines sized and phased to match demand growth and grid stability requirements. Heat rate, ramp rates, minimum stable load, and dual-fuel capability (where relevant) are critical design parameters.</w:t>
      </w:r>
    </w:p>
    <w:p w14:paraId="699D509F" w14:textId="77777777" w:rsidR="009110B9" w:rsidRPr="00C751B4" w:rsidRDefault="00000000" w:rsidP="00C751B4">
      <w:pPr>
        <w:pStyle w:val="ListParagraph"/>
        <w:numPr>
          <w:ilvl w:val="0"/>
          <w:numId w:val="3"/>
        </w:numPr>
        <w:jc w:val="both"/>
        <w:rPr>
          <w:rFonts w:ascii="Times New Roman" w:hAnsi="Times New Roman" w:cs="Times New Roman"/>
          <w:sz w:val="24"/>
          <w:szCs w:val="24"/>
        </w:rPr>
      </w:pPr>
      <w:r w:rsidRPr="00C751B4">
        <w:rPr>
          <w:rFonts w:ascii="Times New Roman" w:hAnsi="Times New Roman" w:cs="Times New Roman"/>
          <w:sz w:val="24"/>
          <w:szCs w:val="24"/>
        </w:rPr>
        <w:t>HFO Conversion: Technical assessment of existing MSD units for dual-fuel or full gas conversion, including burner modifications, gas conditioning, emissions compliance, and residual life.</w:t>
      </w:r>
    </w:p>
    <w:p w14:paraId="532AE430" w14:textId="1E121727" w:rsidR="009110B9" w:rsidRPr="00C751B4" w:rsidRDefault="00000000" w:rsidP="00C751B4">
      <w:pPr>
        <w:pStyle w:val="ListParagraph"/>
        <w:numPr>
          <w:ilvl w:val="0"/>
          <w:numId w:val="3"/>
        </w:num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Commercial Structure: PPP (BOO/BOOT) with long-term PPA and LNG supply contracts (term or spot-linked). </w:t>
      </w:r>
      <w:proofErr w:type="spellStart"/>
      <w:r w:rsidRPr="00C751B4">
        <w:rPr>
          <w:rFonts w:ascii="Times New Roman" w:hAnsi="Times New Roman" w:cs="Times New Roman"/>
          <w:sz w:val="24"/>
          <w:szCs w:val="24"/>
        </w:rPr>
        <w:t>Levelised</w:t>
      </w:r>
      <w:proofErr w:type="spellEnd"/>
      <w:r w:rsidRPr="00C751B4">
        <w:rPr>
          <w:rFonts w:ascii="Times New Roman" w:hAnsi="Times New Roman" w:cs="Times New Roman"/>
          <w:sz w:val="24"/>
          <w:szCs w:val="24"/>
        </w:rPr>
        <w:t xml:space="preserve"> cost of energy and cost of gas delivered are the binding economic metrics. Previous LNG initiatives (Qatar discussions, 2021–2024 terminal studies) stalled on financing and supply security</w:t>
      </w:r>
      <w:r w:rsidR="00736FB2">
        <w:rPr>
          <w:rFonts w:ascii="Times New Roman" w:hAnsi="Times New Roman" w:cs="Times New Roman"/>
          <w:sz w:val="24"/>
          <w:szCs w:val="24"/>
        </w:rPr>
        <w:t xml:space="preserve"> </w:t>
      </w:r>
      <w:r w:rsidRPr="00C751B4">
        <w:rPr>
          <w:rFonts w:ascii="Times New Roman" w:hAnsi="Times New Roman" w:cs="Times New Roman"/>
          <w:sz w:val="24"/>
          <w:szCs w:val="24"/>
        </w:rPr>
        <w:t>lessons that must inform current structuring.</w:t>
      </w:r>
    </w:p>
    <w:p w14:paraId="2F80EC04" w14:textId="7F4A9642"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Pathway 2: Domestic Upstream Gas Development</w:t>
      </w:r>
    </w:p>
    <w:p w14:paraId="7FEB227A"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Medium- to long-term option contingent on appraisal success and development economics. For Anza gas, possible concepts include gas-to-power (local or transmitted), compressed/ liquefied </w:t>
      </w:r>
      <w:r w:rsidRPr="00C751B4">
        <w:rPr>
          <w:rFonts w:ascii="Times New Roman" w:hAnsi="Times New Roman" w:cs="Times New Roman"/>
          <w:sz w:val="24"/>
          <w:szCs w:val="24"/>
        </w:rPr>
        <w:lastRenderedPageBreak/>
        <w:t>natural gas virtual pipelines, or regional pipeline export if volumes and regional demand justify. Offshore Lamu gas would require deep-water subsea development and either FLNG or long-distance pipeline—both capital-intensive and sensitive to reserve size and fiscal terms. Until commerciality is proven, this pathway remains contingent and does not displace the LNG import requirement for the 2026–2032 window.</w:t>
      </w:r>
    </w:p>
    <w:p w14:paraId="7A969808" w14:textId="5C636516"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Pathway 3: LPG Value Chain Expansion</w:t>
      </w:r>
    </w:p>
    <w:p w14:paraId="7E535287"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LPG commercialization is already underway and investable. Priorities are: bulk import capacity and primary storage at the Coast; secondary distribution and cylinder filling plants inland; safety and quality regulation (EPRA LPG regulations); and last-mile cylinder penetration. Engineering focus areas include jetty and storage design (mounded or refrigerated/</w:t>
      </w:r>
      <w:proofErr w:type="spellStart"/>
      <w:r w:rsidRPr="00C751B4">
        <w:rPr>
          <w:rFonts w:ascii="Times New Roman" w:hAnsi="Times New Roman" w:cs="Times New Roman"/>
          <w:sz w:val="24"/>
          <w:szCs w:val="24"/>
        </w:rPr>
        <w:t>pressurised</w:t>
      </w:r>
      <w:proofErr w:type="spellEnd"/>
      <w:r w:rsidRPr="00C751B4">
        <w:rPr>
          <w:rFonts w:ascii="Times New Roman" w:hAnsi="Times New Roman" w:cs="Times New Roman"/>
          <w:sz w:val="24"/>
          <w:szCs w:val="24"/>
        </w:rPr>
        <w:t xml:space="preserve"> as appropriate), </w:t>
      </w:r>
      <w:proofErr w:type="spellStart"/>
      <w:r w:rsidRPr="00C751B4">
        <w:rPr>
          <w:rFonts w:ascii="Times New Roman" w:hAnsi="Times New Roman" w:cs="Times New Roman"/>
          <w:sz w:val="24"/>
          <w:szCs w:val="24"/>
        </w:rPr>
        <w:t>vapour</w:t>
      </w:r>
      <w:proofErr w:type="spellEnd"/>
      <w:r w:rsidRPr="00C751B4">
        <w:rPr>
          <w:rFonts w:ascii="Times New Roman" w:hAnsi="Times New Roman" w:cs="Times New Roman"/>
          <w:sz w:val="24"/>
          <w:szCs w:val="24"/>
        </w:rPr>
        <w:t xml:space="preserve"> recovery, fire protection, and cylinder logistics </w:t>
      </w:r>
      <w:proofErr w:type="spellStart"/>
      <w:r w:rsidRPr="00C751B4">
        <w:rPr>
          <w:rFonts w:ascii="Times New Roman" w:hAnsi="Times New Roman" w:cs="Times New Roman"/>
          <w:sz w:val="24"/>
          <w:szCs w:val="24"/>
        </w:rPr>
        <w:t>optimisation</w:t>
      </w:r>
      <w:proofErr w:type="spellEnd"/>
      <w:r w:rsidRPr="00C751B4">
        <w:rPr>
          <w:rFonts w:ascii="Times New Roman" w:hAnsi="Times New Roman" w:cs="Times New Roman"/>
          <w:sz w:val="24"/>
          <w:szCs w:val="24"/>
        </w:rPr>
        <w:t>. The shift from informal to regulated markets and the introduction of OTS will reshape competitive dynamics.</w:t>
      </w:r>
    </w:p>
    <w:p w14:paraId="5D920D56" w14:textId="33FFAC49"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t>Pathway 4: Regional Integration</w:t>
      </w:r>
    </w:p>
    <w:p w14:paraId="471685AB"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Discussions of a gas pipeline link (e.g., Tanzania–Kenya concepts) and participation in East African gas trade remain longer-term. Any regional pipeline would require multi-country offtake agreements, </w:t>
      </w:r>
      <w:proofErr w:type="spellStart"/>
      <w:r w:rsidRPr="00C751B4">
        <w:rPr>
          <w:rFonts w:ascii="Times New Roman" w:hAnsi="Times New Roman" w:cs="Times New Roman"/>
          <w:sz w:val="24"/>
          <w:szCs w:val="24"/>
        </w:rPr>
        <w:t>harmonised</w:t>
      </w:r>
      <w:proofErr w:type="spellEnd"/>
      <w:r w:rsidRPr="00C751B4">
        <w:rPr>
          <w:rFonts w:ascii="Times New Roman" w:hAnsi="Times New Roman" w:cs="Times New Roman"/>
          <w:sz w:val="24"/>
          <w:szCs w:val="24"/>
        </w:rPr>
        <w:t xml:space="preserve"> technical standards, and bankable transit/tariff regimes. For the current planning horizon, domestic LNG import plus LPG logistics dominate the actionable pathway set.</w:t>
      </w:r>
    </w:p>
    <w:p w14:paraId="4612BA67" w14:textId="439ED7D3" w:rsidR="009110B9" w:rsidRPr="00C751B4" w:rsidRDefault="00000000" w:rsidP="00C751B4">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Infrastructure Requirements and Engineering Considerations</w:t>
      </w:r>
    </w:p>
    <w:p w14:paraId="5785CD9E" w14:textId="2EBB9D54" w:rsidR="009110B9" w:rsidRPr="00C751B4" w:rsidRDefault="00000000" w:rsidP="00736FB2">
      <w:pPr>
        <w:pStyle w:val="Heading2"/>
        <w:numPr>
          <w:ilvl w:val="0"/>
          <w:numId w:val="11"/>
        </w:numPr>
        <w:jc w:val="both"/>
        <w:rPr>
          <w:rFonts w:ascii="Times New Roman" w:hAnsi="Times New Roman" w:cs="Times New Roman"/>
          <w:color w:val="auto"/>
        </w:rPr>
      </w:pPr>
      <w:r w:rsidRPr="00C751B4">
        <w:rPr>
          <w:rFonts w:ascii="Times New Roman" w:hAnsi="Times New Roman" w:cs="Times New Roman"/>
          <w:color w:val="auto"/>
        </w:rPr>
        <w:t>LNG Import and Regasification</w:t>
      </w:r>
    </w:p>
    <w:p w14:paraId="432E1C30"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Critical design and operational parameters for an FSRU-based solution typically include: LNG carrier size compatibility (e.g., 30,000–170,000 m³ class depending on concept), berth occupancy and metocean limits, send-out rate matched to power plant offtake, BOG management, and contingency for outage of the FSRU. Onshore alternatives require land, cryogenic storage tanks, high-pressure pumps, and </w:t>
      </w:r>
      <w:proofErr w:type="spellStart"/>
      <w:r w:rsidRPr="00C751B4">
        <w:rPr>
          <w:rFonts w:ascii="Times New Roman" w:hAnsi="Times New Roman" w:cs="Times New Roman"/>
          <w:sz w:val="24"/>
          <w:szCs w:val="24"/>
        </w:rPr>
        <w:t>vaporisers</w:t>
      </w:r>
      <w:proofErr w:type="spellEnd"/>
      <w:r w:rsidRPr="00C751B4">
        <w:rPr>
          <w:rFonts w:ascii="Times New Roman" w:hAnsi="Times New Roman" w:cs="Times New Roman"/>
          <w:sz w:val="24"/>
          <w:szCs w:val="24"/>
        </w:rPr>
        <w:t>, with higher fixed capital but potentially lower long-term charter exposure. Integration with Dongo Kundu SEZ and existing petroleum terminals reduces greenfield marine risk but introduces interface and congestion management challenges.</w:t>
      </w:r>
    </w:p>
    <w:p w14:paraId="5AFC2598" w14:textId="65D8E0B6" w:rsidR="009110B9" w:rsidRPr="00C751B4" w:rsidRDefault="00000000" w:rsidP="00736FB2">
      <w:pPr>
        <w:pStyle w:val="Heading2"/>
        <w:numPr>
          <w:ilvl w:val="0"/>
          <w:numId w:val="11"/>
        </w:numPr>
        <w:jc w:val="both"/>
        <w:rPr>
          <w:rFonts w:ascii="Times New Roman" w:hAnsi="Times New Roman" w:cs="Times New Roman"/>
          <w:color w:val="auto"/>
        </w:rPr>
      </w:pPr>
      <w:r w:rsidRPr="00C751B4">
        <w:rPr>
          <w:rFonts w:ascii="Times New Roman" w:hAnsi="Times New Roman" w:cs="Times New Roman"/>
          <w:color w:val="auto"/>
        </w:rPr>
        <w:t>Gas Transmission and Distribution</w:t>
      </w:r>
    </w:p>
    <w:p w14:paraId="163B0EFD"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For a coastal power plant, short high-pressure laterals suffice initially. Broader industrial or inland power use would require a transmission backbone—currently non-existent for natural gas. Pipeline design would address diameter, pressure class, compressor stations (if any), SCADA, integrity management, and third-party access rules under forthcoming midstream regulations.</w:t>
      </w:r>
    </w:p>
    <w:p w14:paraId="72BAC06C" w14:textId="1E1CBDA6" w:rsidR="009110B9" w:rsidRPr="00C751B4" w:rsidRDefault="00000000" w:rsidP="00736FB2">
      <w:pPr>
        <w:pStyle w:val="Heading2"/>
        <w:numPr>
          <w:ilvl w:val="0"/>
          <w:numId w:val="11"/>
        </w:numPr>
        <w:jc w:val="both"/>
        <w:rPr>
          <w:rFonts w:ascii="Times New Roman" w:hAnsi="Times New Roman" w:cs="Times New Roman"/>
          <w:color w:val="auto"/>
        </w:rPr>
      </w:pPr>
      <w:r w:rsidRPr="00C751B4">
        <w:rPr>
          <w:rFonts w:ascii="Times New Roman" w:hAnsi="Times New Roman" w:cs="Times New Roman"/>
          <w:color w:val="auto"/>
        </w:rPr>
        <w:t>LPG Storage and Logistics</w:t>
      </w:r>
    </w:p>
    <w:p w14:paraId="0174D823"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Expansion of primary storage at the Coast (already advancing with Lake Gas and </w:t>
      </w:r>
      <w:proofErr w:type="spellStart"/>
      <w:r w:rsidRPr="00C751B4">
        <w:rPr>
          <w:rFonts w:ascii="Times New Roman" w:hAnsi="Times New Roman" w:cs="Times New Roman"/>
          <w:sz w:val="24"/>
          <w:szCs w:val="24"/>
        </w:rPr>
        <w:t>Asharami</w:t>
      </w:r>
      <w:proofErr w:type="spellEnd"/>
      <w:r w:rsidRPr="00C751B4">
        <w:rPr>
          <w:rFonts w:ascii="Times New Roman" w:hAnsi="Times New Roman" w:cs="Times New Roman"/>
          <w:sz w:val="24"/>
          <w:szCs w:val="24"/>
        </w:rPr>
        <w:t xml:space="preserve"> facilities) must be matched by inland depots, cylinder plants, and transport fleet capacity. Engineering standards for LPG facilities (API, EN, local adaptations) cover pressure vessels, relief systems, electrical classification, and emergency shutdown. Cylinder recirculation systems and mutual exchange arrangements improve </w:t>
      </w:r>
      <w:proofErr w:type="spellStart"/>
      <w:r w:rsidRPr="00C751B4">
        <w:rPr>
          <w:rFonts w:ascii="Times New Roman" w:hAnsi="Times New Roman" w:cs="Times New Roman"/>
          <w:sz w:val="24"/>
          <w:szCs w:val="24"/>
        </w:rPr>
        <w:t>utilisation</w:t>
      </w:r>
      <w:proofErr w:type="spellEnd"/>
      <w:r w:rsidRPr="00C751B4">
        <w:rPr>
          <w:rFonts w:ascii="Times New Roman" w:hAnsi="Times New Roman" w:cs="Times New Roman"/>
          <w:sz w:val="24"/>
          <w:szCs w:val="24"/>
        </w:rPr>
        <w:t xml:space="preserve"> and safety.</w:t>
      </w:r>
    </w:p>
    <w:p w14:paraId="7A947594" w14:textId="69050AE7" w:rsidR="009110B9" w:rsidRPr="00C751B4" w:rsidRDefault="00000000" w:rsidP="00736FB2">
      <w:pPr>
        <w:pStyle w:val="Heading2"/>
        <w:numPr>
          <w:ilvl w:val="0"/>
          <w:numId w:val="11"/>
        </w:numPr>
        <w:jc w:val="both"/>
        <w:rPr>
          <w:rFonts w:ascii="Times New Roman" w:hAnsi="Times New Roman" w:cs="Times New Roman"/>
          <w:color w:val="auto"/>
        </w:rPr>
      </w:pPr>
      <w:r w:rsidRPr="00C751B4">
        <w:rPr>
          <w:rFonts w:ascii="Times New Roman" w:hAnsi="Times New Roman" w:cs="Times New Roman"/>
          <w:color w:val="auto"/>
        </w:rPr>
        <w:lastRenderedPageBreak/>
        <w:t>Power System Integration</w:t>
      </w:r>
    </w:p>
    <w:p w14:paraId="2C6F97D1"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Gas-fired capacity must be integrated into the Least Cost Power Development Plan and grid codes. Key issues: transmission evacuation from Dongo Kundu, ancillary services value of gas turbines, interaction with geothermal baseload and variable renewables, and contractual take-or-pay versus flexible offtake. Over-sizing or rigid take-or-pay structures risk stranded capacity if demand growth or renewable penetration diverges from forecasts.</w:t>
      </w:r>
    </w:p>
    <w:p w14:paraId="50200544" w14:textId="5AC71C13" w:rsidR="009110B9" w:rsidRPr="00C751B4" w:rsidRDefault="00000000" w:rsidP="00736FB2">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Regulatory, Policy and Fiscal Framework</w:t>
      </w:r>
    </w:p>
    <w:p w14:paraId="7776E175"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The Petroleum Act 2019 and Energy Act provide the primary legal architecture. The National Petroleum Policy (2025) </w:t>
      </w:r>
      <w:proofErr w:type="spellStart"/>
      <w:r w:rsidRPr="00C751B4">
        <w:rPr>
          <w:rFonts w:ascii="Times New Roman" w:hAnsi="Times New Roman" w:cs="Times New Roman"/>
          <w:sz w:val="24"/>
          <w:szCs w:val="24"/>
        </w:rPr>
        <w:t>prioritises</w:t>
      </w:r>
      <w:proofErr w:type="spellEnd"/>
      <w:r w:rsidRPr="00C751B4">
        <w:rPr>
          <w:rFonts w:ascii="Times New Roman" w:hAnsi="Times New Roman" w:cs="Times New Roman"/>
          <w:sz w:val="24"/>
          <w:szCs w:val="24"/>
        </w:rPr>
        <w:t xml:space="preserve"> promotion of exploration, development and </w:t>
      </w:r>
      <w:proofErr w:type="spellStart"/>
      <w:r w:rsidRPr="00C751B4">
        <w:rPr>
          <w:rFonts w:ascii="Times New Roman" w:hAnsi="Times New Roman" w:cs="Times New Roman"/>
          <w:sz w:val="24"/>
          <w:szCs w:val="24"/>
        </w:rPr>
        <w:t>commercialisation</w:t>
      </w:r>
      <w:proofErr w:type="spellEnd"/>
      <w:r w:rsidRPr="00C751B4">
        <w:rPr>
          <w:rFonts w:ascii="Times New Roman" w:hAnsi="Times New Roman" w:cs="Times New Roman"/>
          <w:sz w:val="24"/>
          <w:szCs w:val="24"/>
        </w:rPr>
        <w:t xml:space="preserve"> of petroleum resources, including natural gas as a transition fuel. EPRA holds technical and economic regulatory authority across the value chain. Draft upstream and midstream regulations (2026 suite) address licensing, operations, cost management, access to land, EHS, local content, and crude/gas transportation and storage—critical for investor certainty.</w:t>
      </w:r>
    </w:p>
    <w:p w14:paraId="26B44AF4"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Local content regulations set progressive </w:t>
      </w:r>
      <w:proofErr w:type="spellStart"/>
      <w:r w:rsidRPr="00C751B4">
        <w:rPr>
          <w:rFonts w:ascii="Times New Roman" w:hAnsi="Times New Roman" w:cs="Times New Roman"/>
          <w:sz w:val="24"/>
          <w:szCs w:val="24"/>
        </w:rPr>
        <w:t>Kenyanisation</w:t>
      </w:r>
      <w:proofErr w:type="spellEnd"/>
      <w:r w:rsidRPr="00C751B4">
        <w:rPr>
          <w:rFonts w:ascii="Times New Roman" w:hAnsi="Times New Roman" w:cs="Times New Roman"/>
          <w:sz w:val="24"/>
          <w:szCs w:val="24"/>
        </w:rPr>
        <w:t xml:space="preserve"> targets for management, technical, and other staff, and preference for Kenyan goods and services (including quotas for youth, women and persons with disabilities). While supportive of national development, these requirements must be calibrated to avoid deterring </w:t>
      </w:r>
      <w:proofErr w:type="spellStart"/>
      <w:r w:rsidRPr="00C751B4">
        <w:rPr>
          <w:rFonts w:ascii="Times New Roman" w:hAnsi="Times New Roman" w:cs="Times New Roman"/>
          <w:sz w:val="24"/>
          <w:szCs w:val="24"/>
        </w:rPr>
        <w:t>specialised</w:t>
      </w:r>
      <w:proofErr w:type="spellEnd"/>
      <w:r w:rsidRPr="00C751B4">
        <w:rPr>
          <w:rFonts w:ascii="Times New Roman" w:hAnsi="Times New Roman" w:cs="Times New Roman"/>
          <w:sz w:val="24"/>
          <w:szCs w:val="24"/>
        </w:rPr>
        <w:t xml:space="preserve"> international contractors during the high-risk exploration and early development phases.</w:t>
      </w:r>
    </w:p>
    <w:p w14:paraId="6DAC3972"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Fiscal terms for upstream (production sharing, cost recovery, profit oil/gas splits, royalties, taxes) and midstream/downstream (tariffs, pricing formulas, import duties where applicable) remain central to project IRRs. LPG zero-rating has demonstrably supported demand growth; any reversal would risk demand destruction. For LNG-to-power, the interaction of gas supply price, power purchase tariff, and system dispatch economics determines bankability.</w:t>
      </w:r>
    </w:p>
    <w:p w14:paraId="0324BD35" w14:textId="40716AAC" w:rsidR="009110B9" w:rsidRPr="00C751B4" w:rsidRDefault="00000000" w:rsidP="00C751B4">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Investment Outlook and Risk Analysis</w:t>
      </w:r>
    </w:p>
    <w:p w14:paraId="337B5838" w14:textId="3C3C63F6" w:rsidR="009110B9" w:rsidRPr="00C751B4" w:rsidRDefault="00000000" w:rsidP="00736FB2">
      <w:pPr>
        <w:pStyle w:val="Heading2"/>
        <w:numPr>
          <w:ilvl w:val="0"/>
          <w:numId w:val="11"/>
        </w:numPr>
        <w:jc w:val="both"/>
        <w:rPr>
          <w:rFonts w:ascii="Times New Roman" w:hAnsi="Times New Roman" w:cs="Times New Roman"/>
          <w:color w:val="auto"/>
        </w:rPr>
      </w:pPr>
      <w:r w:rsidRPr="00C751B4">
        <w:rPr>
          <w:rFonts w:ascii="Times New Roman" w:hAnsi="Times New Roman" w:cs="Times New Roman"/>
          <w:color w:val="auto"/>
        </w:rPr>
        <w:t>Capital Requirements and Opportunity Set</w:t>
      </w:r>
    </w:p>
    <w:p w14:paraId="1DF43E81"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Indicative investment magnitudes:</w:t>
      </w:r>
    </w:p>
    <w:p w14:paraId="3E0EA365" w14:textId="77777777" w:rsidR="009110B9" w:rsidRPr="00C751B4" w:rsidRDefault="00000000" w:rsidP="00C751B4">
      <w:pPr>
        <w:pStyle w:val="ListParagraph"/>
        <w:numPr>
          <w:ilvl w:val="0"/>
          <w:numId w:val="4"/>
        </w:numPr>
        <w:jc w:val="both"/>
        <w:rPr>
          <w:rFonts w:ascii="Times New Roman" w:hAnsi="Times New Roman" w:cs="Times New Roman"/>
          <w:sz w:val="24"/>
          <w:szCs w:val="24"/>
        </w:rPr>
      </w:pPr>
      <w:r w:rsidRPr="00C751B4">
        <w:rPr>
          <w:rFonts w:ascii="Times New Roman" w:hAnsi="Times New Roman" w:cs="Times New Roman"/>
          <w:sz w:val="24"/>
          <w:szCs w:val="24"/>
        </w:rPr>
        <w:t>Dongo Kundu 1,200 MW LNG power plant and associated import infrastructure: ~USD 2.9 billion (order-of-magnitude; final cost depends on technology, phasing, and terminal choice).</w:t>
      </w:r>
    </w:p>
    <w:p w14:paraId="529F2CF0" w14:textId="77777777" w:rsidR="009110B9" w:rsidRPr="00C751B4" w:rsidRDefault="00000000" w:rsidP="00C751B4">
      <w:pPr>
        <w:pStyle w:val="ListParagraph"/>
        <w:numPr>
          <w:ilvl w:val="0"/>
          <w:numId w:val="4"/>
        </w:numPr>
        <w:jc w:val="both"/>
        <w:rPr>
          <w:rFonts w:ascii="Times New Roman" w:hAnsi="Times New Roman" w:cs="Times New Roman"/>
          <w:sz w:val="24"/>
          <w:szCs w:val="24"/>
        </w:rPr>
      </w:pPr>
      <w:r w:rsidRPr="00C751B4">
        <w:rPr>
          <w:rFonts w:ascii="Times New Roman" w:hAnsi="Times New Roman" w:cs="Times New Roman"/>
          <w:sz w:val="24"/>
          <w:szCs w:val="24"/>
        </w:rPr>
        <w:t>HFO plant conversions: material but lower than greenfield; site-specific.</w:t>
      </w:r>
    </w:p>
    <w:p w14:paraId="3F8BC576" w14:textId="77777777" w:rsidR="009110B9" w:rsidRPr="00C751B4" w:rsidRDefault="00000000" w:rsidP="00C751B4">
      <w:pPr>
        <w:pStyle w:val="ListParagraph"/>
        <w:numPr>
          <w:ilvl w:val="0"/>
          <w:numId w:val="4"/>
        </w:numPr>
        <w:jc w:val="both"/>
        <w:rPr>
          <w:rFonts w:ascii="Times New Roman" w:hAnsi="Times New Roman" w:cs="Times New Roman"/>
          <w:sz w:val="24"/>
          <w:szCs w:val="24"/>
        </w:rPr>
      </w:pPr>
      <w:r w:rsidRPr="00C751B4">
        <w:rPr>
          <w:rFonts w:ascii="Times New Roman" w:hAnsi="Times New Roman" w:cs="Times New Roman"/>
          <w:sz w:val="24"/>
          <w:szCs w:val="24"/>
        </w:rPr>
        <w:t>LPG primary and secondary infrastructure: tens to low hundreds of millions of dollars across multiple facilities.</w:t>
      </w:r>
    </w:p>
    <w:p w14:paraId="70230446" w14:textId="77777777" w:rsidR="009110B9" w:rsidRPr="00C751B4" w:rsidRDefault="00000000" w:rsidP="00C751B4">
      <w:pPr>
        <w:pStyle w:val="ListParagraph"/>
        <w:numPr>
          <w:ilvl w:val="0"/>
          <w:numId w:val="4"/>
        </w:numPr>
        <w:spacing w:after="120"/>
        <w:jc w:val="both"/>
        <w:rPr>
          <w:rFonts w:ascii="Times New Roman" w:hAnsi="Times New Roman" w:cs="Times New Roman"/>
          <w:sz w:val="24"/>
          <w:szCs w:val="24"/>
        </w:rPr>
      </w:pPr>
      <w:r w:rsidRPr="00C751B4">
        <w:rPr>
          <w:rFonts w:ascii="Times New Roman" w:hAnsi="Times New Roman" w:cs="Times New Roman"/>
          <w:sz w:val="24"/>
          <w:szCs w:val="24"/>
        </w:rPr>
        <w:t>Upstream appraisal and potential gas development (Anza/Lamu): contingent and discovery-dependent; significant exploration capital already expended historically with limited commercial return to date.</w:t>
      </w:r>
    </w:p>
    <w:p w14:paraId="0A67EB6B" w14:textId="77777777"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Attractive entry points for private capital include: (</w:t>
      </w:r>
      <w:proofErr w:type="spellStart"/>
      <w:r w:rsidRPr="00C751B4">
        <w:rPr>
          <w:rFonts w:ascii="Times New Roman" w:hAnsi="Times New Roman" w:cs="Times New Roman"/>
          <w:sz w:val="24"/>
          <w:szCs w:val="24"/>
        </w:rPr>
        <w:t>i</w:t>
      </w:r>
      <w:proofErr w:type="spellEnd"/>
      <w:r w:rsidRPr="00C751B4">
        <w:rPr>
          <w:rFonts w:ascii="Times New Roman" w:hAnsi="Times New Roman" w:cs="Times New Roman"/>
          <w:sz w:val="24"/>
          <w:szCs w:val="24"/>
        </w:rPr>
        <w:t xml:space="preserve">) LNG terminal and power plant under PPP with government support measures; (ii) LPG storage, filling and distribution; (iii) upstream farm-ins or licensing round participation in restructured blocks with modern data packages; and (iv) </w:t>
      </w:r>
      <w:proofErr w:type="spellStart"/>
      <w:r w:rsidRPr="00C751B4">
        <w:rPr>
          <w:rFonts w:ascii="Times New Roman" w:hAnsi="Times New Roman" w:cs="Times New Roman"/>
          <w:sz w:val="24"/>
          <w:szCs w:val="24"/>
        </w:rPr>
        <w:t>specialised</w:t>
      </w:r>
      <w:proofErr w:type="spellEnd"/>
      <w:r w:rsidRPr="00C751B4">
        <w:rPr>
          <w:rFonts w:ascii="Times New Roman" w:hAnsi="Times New Roman" w:cs="Times New Roman"/>
          <w:sz w:val="24"/>
          <w:szCs w:val="24"/>
        </w:rPr>
        <w:t xml:space="preserve"> services (drilling, well services, EPC, O&amp;M).</w:t>
      </w:r>
    </w:p>
    <w:p w14:paraId="4FBF1042" w14:textId="7D74AA72" w:rsidR="009110B9" w:rsidRPr="00C751B4" w:rsidRDefault="00000000" w:rsidP="00C751B4">
      <w:pPr>
        <w:pStyle w:val="Heading2"/>
        <w:jc w:val="both"/>
        <w:rPr>
          <w:rFonts w:ascii="Times New Roman" w:hAnsi="Times New Roman" w:cs="Times New Roman"/>
          <w:color w:val="auto"/>
        </w:rPr>
      </w:pPr>
      <w:r w:rsidRPr="00C751B4">
        <w:rPr>
          <w:rFonts w:ascii="Times New Roman" w:hAnsi="Times New Roman" w:cs="Times New Roman"/>
          <w:color w:val="auto"/>
        </w:rPr>
        <w:lastRenderedPageBreak/>
        <w:t>Key Risks</w:t>
      </w:r>
    </w:p>
    <w:tbl>
      <w:tblPr>
        <w:tblStyle w:val="TableGrid"/>
        <w:tblW w:w="10080" w:type="dxa"/>
        <w:tblLook w:val="04A0" w:firstRow="1" w:lastRow="0" w:firstColumn="1" w:lastColumn="0" w:noHBand="0" w:noVBand="1"/>
      </w:tblPr>
      <w:tblGrid>
        <w:gridCol w:w="2400"/>
        <w:gridCol w:w="3840"/>
        <w:gridCol w:w="3840"/>
      </w:tblGrid>
      <w:tr w:rsidR="00C751B4" w:rsidRPr="00C751B4" w14:paraId="3A00CEB1" w14:textId="77777777" w:rsidTr="00736FB2">
        <w:tc>
          <w:tcPr>
            <w:tcW w:w="2400" w:type="dxa"/>
          </w:tcPr>
          <w:p w14:paraId="6FDF8A24"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Risk Category</w:t>
            </w:r>
          </w:p>
        </w:tc>
        <w:tc>
          <w:tcPr>
            <w:tcW w:w="3840" w:type="dxa"/>
          </w:tcPr>
          <w:p w14:paraId="6DC382EF"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Description</w:t>
            </w:r>
          </w:p>
        </w:tc>
        <w:tc>
          <w:tcPr>
            <w:tcW w:w="3840" w:type="dxa"/>
          </w:tcPr>
          <w:p w14:paraId="0082EE68"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Mitigants</w:t>
            </w:r>
          </w:p>
        </w:tc>
      </w:tr>
      <w:tr w:rsidR="00C751B4" w:rsidRPr="00C751B4" w14:paraId="3EA698DE" w14:textId="77777777" w:rsidTr="00736FB2">
        <w:tc>
          <w:tcPr>
            <w:tcW w:w="2400" w:type="dxa"/>
          </w:tcPr>
          <w:p w14:paraId="4C063E02"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Demand / Offtake</w:t>
            </w:r>
          </w:p>
        </w:tc>
        <w:tc>
          <w:tcPr>
            <w:tcW w:w="3840" w:type="dxa"/>
          </w:tcPr>
          <w:p w14:paraId="2685B2A3"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Lower-than-forecast power demand growth or aggressive renewable penetration stranding gas capacity</w:t>
            </w:r>
          </w:p>
        </w:tc>
        <w:tc>
          <w:tcPr>
            <w:tcW w:w="3840" w:type="dxa"/>
          </w:tcPr>
          <w:p w14:paraId="7222DDDF"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 xml:space="preserve">Phased build; flexible PPAs; value of flexibility/ancillary services </w:t>
            </w:r>
            <w:proofErr w:type="spellStart"/>
            <w:r w:rsidRPr="00C751B4">
              <w:rPr>
                <w:rFonts w:ascii="Times New Roman" w:hAnsi="Times New Roman" w:cs="Times New Roman"/>
                <w:sz w:val="24"/>
                <w:szCs w:val="24"/>
              </w:rPr>
              <w:t>recognised</w:t>
            </w:r>
            <w:proofErr w:type="spellEnd"/>
          </w:p>
        </w:tc>
      </w:tr>
      <w:tr w:rsidR="00C751B4" w:rsidRPr="00C751B4" w14:paraId="36951F53" w14:textId="77777777" w:rsidTr="00736FB2">
        <w:tc>
          <w:tcPr>
            <w:tcW w:w="2400" w:type="dxa"/>
          </w:tcPr>
          <w:p w14:paraId="18434302"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Supply Security</w:t>
            </w:r>
          </w:p>
        </w:tc>
        <w:tc>
          <w:tcPr>
            <w:tcW w:w="3840" w:type="dxa"/>
          </w:tcPr>
          <w:p w14:paraId="676E6CB4"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LNG supply disruption or price spikes; limited domestic gas optionality</w:t>
            </w:r>
          </w:p>
        </w:tc>
        <w:tc>
          <w:tcPr>
            <w:tcW w:w="3840" w:type="dxa"/>
          </w:tcPr>
          <w:p w14:paraId="124D3273"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Diversified supply portfolio; strategic storage; dual-fuel capability where feasible</w:t>
            </w:r>
          </w:p>
        </w:tc>
      </w:tr>
      <w:tr w:rsidR="00C751B4" w:rsidRPr="00C751B4" w14:paraId="26BB38A8" w14:textId="77777777" w:rsidTr="00736FB2">
        <w:tc>
          <w:tcPr>
            <w:tcW w:w="2400" w:type="dxa"/>
          </w:tcPr>
          <w:p w14:paraId="11DF79D0"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Financing</w:t>
            </w:r>
          </w:p>
        </w:tc>
        <w:tc>
          <w:tcPr>
            <w:tcW w:w="3840" w:type="dxa"/>
          </w:tcPr>
          <w:p w14:paraId="4550DF0D"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High cost of capital; limited long-tenor local currency financing; previous project stalls</w:t>
            </w:r>
          </w:p>
        </w:tc>
        <w:tc>
          <w:tcPr>
            <w:tcW w:w="3840" w:type="dxa"/>
          </w:tcPr>
          <w:p w14:paraId="4A89E24B"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PPP structure; DFIs; government support measures; partial risk guarantees</w:t>
            </w:r>
          </w:p>
        </w:tc>
      </w:tr>
      <w:tr w:rsidR="00C751B4" w:rsidRPr="00C751B4" w14:paraId="6B21F3AB" w14:textId="77777777" w:rsidTr="00736FB2">
        <w:tc>
          <w:tcPr>
            <w:tcW w:w="2400" w:type="dxa"/>
          </w:tcPr>
          <w:p w14:paraId="77793D99"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Regulatory / Fiscal</w:t>
            </w:r>
          </w:p>
        </w:tc>
        <w:tc>
          <w:tcPr>
            <w:tcW w:w="3840" w:type="dxa"/>
          </w:tcPr>
          <w:p w14:paraId="013D1C1C"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 xml:space="preserve">Policy inconsistency; delayed regulation </w:t>
            </w:r>
            <w:proofErr w:type="spellStart"/>
            <w:r w:rsidRPr="00C751B4">
              <w:rPr>
                <w:rFonts w:ascii="Times New Roman" w:hAnsi="Times New Roman" w:cs="Times New Roman"/>
                <w:sz w:val="24"/>
                <w:szCs w:val="24"/>
              </w:rPr>
              <w:t>finalisation</w:t>
            </w:r>
            <w:proofErr w:type="spellEnd"/>
            <w:r w:rsidRPr="00C751B4">
              <w:rPr>
                <w:rFonts w:ascii="Times New Roman" w:hAnsi="Times New Roman" w:cs="Times New Roman"/>
                <w:sz w:val="24"/>
                <w:szCs w:val="24"/>
              </w:rPr>
              <w:t>; local content rigidity</w:t>
            </w:r>
          </w:p>
        </w:tc>
        <w:tc>
          <w:tcPr>
            <w:tcW w:w="3840" w:type="dxa"/>
          </w:tcPr>
          <w:p w14:paraId="206C05A9" w14:textId="77777777" w:rsidR="009110B9" w:rsidRPr="00C751B4" w:rsidRDefault="00000000" w:rsidP="00C751B4">
            <w:pPr>
              <w:jc w:val="both"/>
              <w:rPr>
                <w:rFonts w:ascii="Times New Roman" w:hAnsi="Times New Roman" w:cs="Times New Roman"/>
                <w:sz w:val="24"/>
                <w:szCs w:val="24"/>
              </w:rPr>
            </w:pPr>
            <w:proofErr w:type="spellStart"/>
            <w:r w:rsidRPr="00C751B4">
              <w:rPr>
                <w:rFonts w:ascii="Times New Roman" w:hAnsi="Times New Roman" w:cs="Times New Roman"/>
                <w:sz w:val="24"/>
                <w:szCs w:val="24"/>
              </w:rPr>
              <w:t>Finalise</w:t>
            </w:r>
            <w:proofErr w:type="spellEnd"/>
            <w:r w:rsidRPr="00C751B4">
              <w:rPr>
                <w:rFonts w:ascii="Times New Roman" w:hAnsi="Times New Roman" w:cs="Times New Roman"/>
                <w:sz w:val="24"/>
                <w:szCs w:val="24"/>
              </w:rPr>
              <w:t xml:space="preserve"> 2026 regulation suite; </w:t>
            </w:r>
            <w:proofErr w:type="spellStart"/>
            <w:r w:rsidRPr="00C751B4">
              <w:rPr>
                <w:rFonts w:ascii="Times New Roman" w:hAnsi="Times New Roman" w:cs="Times New Roman"/>
                <w:sz w:val="24"/>
                <w:szCs w:val="24"/>
              </w:rPr>
              <w:t>stabilisation</w:t>
            </w:r>
            <w:proofErr w:type="spellEnd"/>
            <w:r w:rsidRPr="00C751B4">
              <w:rPr>
                <w:rFonts w:ascii="Times New Roman" w:hAnsi="Times New Roman" w:cs="Times New Roman"/>
                <w:sz w:val="24"/>
                <w:szCs w:val="24"/>
              </w:rPr>
              <w:t xml:space="preserve"> clauses; phased local content</w:t>
            </w:r>
          </w:p>
        </w:tc>
      </w:tr>
      <w:tr w:rsidR="00C751B4" w:rsidRPr="00C751B4" w14:paraId="02F4189E" w14:textId="77777777" w:rsidTr="00736FB2">
        <w:tc>
          <w:tcPr>
            <w:tcW w:w="2400" w:type="dxa"/>
          </w:tcPr>
          <w:p w14:paraId="108DD335"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Technical / Execution</w:t>
            </w:r>
          </w:p>
        </w:tc>
        <w:tc>
          <w:tcPr>
            <w:tcW w:w="3840" w:type="dxa"/>
          </w:tcPr>
          <w:p w14:paraId="2BEC5FAA"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Marine interface, grid connection, conversion technical risk</w:t>
            </w:r>
          </w:p>
        </w:tc>
        <w:tc>
          <w:tcPr>
            <w:tcW w:w="3840" w:type="dxa"/>
          </w:tcPr>
          <w:p w14:paraId="261EB435"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Experienced EPC/O&amp;M; front-end engineering; interface agreements</w:t>
            </w:r>
          </w:p>
        </w:tc>
      </w:tr>
      <w:tr w:rsidR="00C751B4" w:rsidRPr="00C751B4" w14:paraId="36977EE4" w14:textId="77777777" w:rsidTr="00736FB2">
        <w:tc>
          <w:tcPr>
            <w:tcW w:w="2400" w:type="dxa"/>
          </w:tcPr>
          <w:p w14:paraId="69612430"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b/>
                <w:bCs/>
                <w:sz w:val="24"/>
                <w:szCs w:val="24"/>
              </w:rPr>
              <w:t>Upstream Subsurface</w:t>
            </w:r>
          </w:p>
        </w:tc>
        <w:tc>
          <w:tcPr>
            <w:tcW w:w="3840" w:type="dxa"/>
          </w:tcPr>
          <w:p w14:paraId="4EB62785"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Commerciality of Anza/Lamu gas unproven; high exploration risk</w:t>
            </w:r>
          </w:p>
        </w:tc>
        <w:tc>
          <w:tcPr>
            <w:tcW w:w="3840" w:type="dxa"/>
          </w:tcPr>
          <w:p w14:paraId="3D17013E" w14:textId="77777777" w:rsidR="009110B9" w:rsidRPr="00C751B4" w:rsidRDefault="00000000" w:rsidP="00C751B4">
            <w:pPr>
              <w:jc w:val="both"/>
              <w:rPr>
                <w:rFonts w:ascii="Times New Roman" w:hAnsi="Times New Roman" w:cs="Times New Roman"/>
                <w:sz w:val="24"/>
                <w:szCs w:val="24"/>
              </w:rPr>
            </w:pPr>
            <w:r w:rsidRPr="00C751B4">
              <w:rPr>
                <w:rFonts w:ascii="Times New Roman" w:hAnsi="Times New Roman" w:cs="Times New Roman"/>
                <w:sz w:val="24"/>
                <w:szCs w:val="24"/>
              </w:rPr>
              <w:t>Data room quality; risked economics; portfolio approach in licensing</w:t>
            </w:r>
          </w:p>
        </w:tc>
      </w:tr>
    </w:tbl>
    <w:p w14:paraId="6CEBC2B9" w14:textId="4D3AAC21" w:rsidR="009110B9" w:rsidRPr="00C751B4" w:rsidRDefault="00000000" w:rsidP="00C751B4">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 xml:space="preserve">Technical Challenges </w:t>
      </w:r>
    </w:p>
    <w:p w14:paraId="2B9A2181" w14:textId="5E50B07C" w:rsidR="009110B9" w:rsidRPr="00C751B4" w:rsidRDefault="00000000" w:rsidP="00C751B4">
      <w:pPr>
        <w:spacing w:after="120"/>
        <w:jc w:val="both"/>
        <w:rPr>
          <w:rFonts w:ascii="Times New Roman" w:hAnsi="Times New Roman" w:cs="Times New Roman"/>
          <w:sz w:val="24"/>
          <w:szCs w:val="24"/>
        </w:rPr>
      </w:pPr>
      <w:r w:rsidRPr="00C751B4">
        <w:rPr>
          <w:rFonts w:ascii="Times New Roman" w:hAnsi="Times New Roman" w:cs="Times New Roman"/>
          <w:sz w:val="24"/>
          <w:szCs w:val="24"/>
        </w:rPr>
        <w:t>Several  realities will determine outcomes:</w:t>
      </w:r>
    </w:p>
    <w:p w14:paraId="530413B9" w14:textId="77777777" w:rsidR="009110B9" w:rsidRPr="00C751B4" w:rsidRDefault="00000000" w:rsidP="00C751B4">
      <w:pPr>
        <w:pStyle w:val="ListParagraph"/>
        <w:numPr>
          <w:ilvl w:val="0"/>
          <w:numId w:val="5"/>
        </w:numPr>
        <w:jc w:val="both"/>
        <w:rPr>
          <w:rFonts w:ascii="Times New Roman" w:hAnsi="Times New Roman" w:cs="Times New Roman"/>
          <w:sz w:val="24"/>
          <w:szCs w:val="24"/>
        </w:rPr>
      </w:pPr>
      <w:r w:rsidRPr="00C751B4">
        <w:rPr>
          <w:rFonts w:ascii="Times New Roman" w:hAnsi="Times New Roman" w:cs="Times New Roman"/>
          <w:sz w:val="24"/>
          <w:szCs w:val="24"/>
        </w:rPr>
        <w:t>Subsurface Uncertainty: Gas discoveries lack modern full-field appraisal. Reservoir quality (net-to-gross, permeability), connectivity, and fluid properties must be constrained before FID. Dry-hole risk in Lamu deep water remains material.</w:t>
      </w:r>
    </w:p>
    <w:p w14:paraId="5E759372" w14:textId="77777777" w:rsidR="009110B9" w:rsidRPr="00C751B4" w:rsidRDefault="00000000" w:rsidP="00C751B4">
      <w:pPr>
        <w:pStyle w:val="ListParagraph"/>
        <w:numPr>
          <w:ilvl w:val="0"/>
          <w:numId w:val="5"/>
        </w:numPr>
        <w:jc w:val="both"/>
        <w:rPr>
          <w:rFonts w:ascii="Times New Roman" w:hAnsi="Times New Roman" w:cs="Times New Roman"/>
          <w:sz w:val="24"/>
          <w:szCs w:val="24"/>
        </w:rPr>
      </w:pPr>
      <w:r w:rsidRPr="00C751B4">
        <w:rPr>
          <w:rFonts w:ascii="Times New Roman" w:hAnsi="Times New Roman" w:cs="Times New Roman"/>
          <w:sz w:val="24"/>
          <w:szCs w:val="24"/>
        </w:rPr>
        <w:t>Marine and Cryogenic Systems: FSRU/terminal design must address Mombasa metocean conditions, channel constraints, and simultaneous operations with existing petroleum traffic. Cryogenic safety cases and emergency response planning are non-negotiable.</w:t>
      </w:r>
    </w:p>
    <w:p w14:paraId="5FA66430" w14:textId="77777777" w:rsidR="009110B9" w:rsidRPr="00C751B4" w:rsidRDefault="00000000" w:rsidP="00C751B4">
      <w:pPr>
        <w:pStyle w:val="ListParagraph"/>
        <w:numPr>
          <w:ilvl w:val="0"/>
          <w:numId w:val="5"/>
        </w:numPr>
        <w:jc w:val="both"/>
        <w:rPr>
          <w:rFonts w:ascii="Times New Roman" w:hAnsi="Times New Roman" w:cs="Times New Roman"/>
          <w:sz w:val="24"/>
          <w:szCs w:val="24"/>
        </w:rPr>
      </w:pPr>
      <w:r w:rsidRPr="00C751B4">
        <w:rPr>
          <w:rFonts w:ascii="Times New Roman" w:hAnsi="Times New Roman" w:cs="Times New Roman"/>
          <w:sz w:val="24"/>
          <w:szCs w:val="24"/>
        </w:rPr>
        <w:t>Power Plant Performance: Selection of GT technology (aeroderivative vs heavy-frame), combined-cycle efficiency versus open-cycle flexibility, and emissions control (NOx) must match dispatch profile and environmental standards.</w:t>
      </w:r>
    </w:p>
    <w:p w14:paraId="0D5E753C" w14:textId="77777777" w:rsidR="009110B9" w:rsidRPr="00C751B4" w:rsidRDefault="00000000" w:rsidP="00C751B4">
      <w:pPr>
        <w:pStyle w:val="ListParagraph"/>
        <w:numPr>
          <w:ilvl w:val="0"/>
          <w:numId w:val="5"/>
        </w:numPr>
        <w:jc w:val="both"/>
        <w:rPr>
          <w:rFonts w:ascii="Times New Roman" w:hAnsi="Times New Roman" w:cs="Times New Roman"/>
          <w:sz w:val="24"/>
          <w:szCs w:val="24"/>
        </w:rPr>
      </w:pPr>
      <w:r w:rsidRPr="00C751B4">
        <w:rPr>
          <w:rFonts w:ascii="Times New Roman" w:hAnsi="Times New Roman" w:cs="Times New Roman"/>
          <w:sz w:val="24"/>
          <w:szCs w:val="24"/>
        </w:rPr>
        <w:t>HFO Conversion Engineering: Not all MSD units are equally convertible. Burner retrofits, fuel gas conditioning (dew point, filtration), control system upgrades, and residual mechanical integrity assessments are site-specific and cost-sensitive.</w:t>
      </w:r>
    </w:p>
    <w:p w14:paraId="7BC43292" w14:textId="77777777" w:rsidR="009110B9" w:rsidRPr="00C751B4" w:rsidRDefault="00000000" w:rsidP="00C751B4">
      <w:pPr>
        <w:pStyle w:val="ListParagraph"/>
        <w:numPr>
          <w:ilvl w:val="0"/>
          <w:numId w:val="5"/>
        </w:numPr>
        <w:spacing w:after="120"/>
        <w:jc w:val="both"/>
        <w:rPr>
          <w:rFonts w:ascii="Times New Roman" w:hAnsi="Times New Roman" w:cs="Times New Roman"/>
          <w:sz w:val="24"/>
          <w:szCs w:val="24"/>
        </w:rPr>
      </w:pPr>
      <w:r w:rsidRPr="00C751B4">
        <w:rPr>
          <w:rFonts w:ascii="Times New Roman" w:hAnsi="Times New Roman" w:cs="Times New Roman"/>
          <w:sz w:val="24"/>
          <w:szCs w:val="24"/>
        </w:rPr>
        <w:t>Midstream Integrity and Safety: LPG and natural gas systems require rigorous integrity management (corrosion, third-party damage, operational procedures). Kenya’s regulatory capacity at EPRA and associated agencies must keep pace with infrastructure build-out.</w:t>
      </w:r>
    </w:p>
    <w:p w14:paraId="6537037C" w14:textId="37ADD6BD" w:rsidR="009110B9" w:rsidRPr="00C751B4" w:rsidRDefault="00000000" w:rsidP="00C751B4">
      <w:pPr>
        <w:spacing w:before="320" w:after="160"/>
        <w:jc w:val="both"/>
        <w:rPr>
          <w:rFonts w:ascii="Times New Roman" w:hAnsi="Times New Roman" w:cs="Times New Roman"/>
          <w:sz w:val="24"/>
          <w:szCs w:val="24"/>
        </w:rPr>
      </w:pPr>
      <w:r w:rsidRPr="00C751B4">
        <w:rPr>
          <w:rFonts w:ascii="Times New Roman" w:hAnsi="Times New Roman" w:cs="Times New Roman"/>
          <w:b/>
          <w:sz w:val="24"/>
          <w:szCs w:val="24"/>
        </w:rPr>
        <w:t xml:space="preserve"> Technical Assessment of LNG-to-Power Economics</w:t>
      </w:r>
    </w:p>
    <w:p w14:paraId="0A8DA55C" w14:textId="0E2E4C1B"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The </w:t>
      </w:r>
      <w:proofErr w:type="spellStart"/>
      <w:r w:rsidRPr="00C751B4">
        <w:rPr>
          <w:rFonts w:ascii="Times New Roman" w:hAnsi="Times New Roman" w:cs="Times New Roman"/>
          <w:sz w:val="24"/>
          <w:szCs w:val="24"/>
        </w:rPr>
        <w:t>levelised</w:t>
      </w:r>
      <w:proofErr w:type="spellEnd"/>
      <w:r w:rsidRPr="00C751B4">
        <w:rPr>
          <w:rFonts w:ascii="Times New Roman" w:hAnsi="Times New Roman" w:cs="Times New Roman"/>
          <w:sz w:val="24"/>
          <w:szCs w:val="24"/>
        </w:rPr>
        <w:t xml:space="preserve"> cost of electricity (LCOE) and </w:t>
      </w:r>
      <w:proofErr w:type="spellStart"/>
      <w:r w:rsidRPr="00C751B4">
        <w:rPr>
          <w:rFonts w:ascii="Times New Roman" w:hAnsi="Times New Roman" w:cs="Times New Roman"/>
          <w:sz w:val="24"/>
          <w:szCs w:val="24"/>
        </w:rPr>
        <w:t>levelised</w:t>
      </w:r>
      <w:proofErr w:type="spellEnd"/>
      <w:r w:rsidRPr="00C751B4">
        <w:rPr>
          <w:rFonts w:ascii="Times New Roman" w:hAnsi="Times New Roman" w:cs="Times New Roman"/>
          <w:sz w:val="24"/>
          <w:szCs w:val="24"/>
        </w:rPr>
        <w:t xml:space="preserve"> cost of gas (LCOG) are the binding metrics for LNG-to-power bankability in Kenya. LCOG comprises the free-on-board (FOB) LNG price, shipping (charter and boil-off), port and terminal costs (including FSRU charter or onshore capital recovery), regasification, and any pipeline lateral costs. Indicative FOB prices in the current global market environment, combined with relatively short shipping distances from potential East African </w:t>
      </w:r>
      <w:r w:rsidRPr="00C751B4">
        <w:rPr>
          <w:rFonts w:ascii="Times New Roman" w:hAnsi="Times New Roman" w:cs="Times New Roman"/>
          <w:sz w:val="24"/>
          <w:szCs w:val="24"/>
        </w:rPr>
        <w:lastRenderedPageBreak/>
        <w:t>or Middle Eastern sources, can yield competitive delivered gas costs relative to HFO on an energy-equivalent basis</w:t>
      </w:r>
      <w:r w:rsidR="00736FB2">
        <w:rPr>
          <w:rFonts w:ascii="Times New Roman" w:hAnsi="Times New Roman" w:cs="Times New Roman"/>
          <w:sz w:val="24"/>
          <w:szCs w:val="24"/>
        </w:rPr>
        <w:t xml:space="preserve"> </w:t>
      </w:r>
      <w:r w:rsidRPr="00C751B4">
        <w:rPr>
          <w:rFonts w:ascii="Times New Roman" w:hAnsi="Times New Roman" w:cs="Times New Roman"/>
          <w:sz w:val="24"/>
          <w:szCs w:val="24"/>
        </w:rPr>
        <w:t xml:space="preserve">particularly when HFO prices are elevated and carbon or emissions costs are </w:t>
      </w:r>
      <w:proofErr w:type="spellStart"/>
      <w:r w:rsidRPr="00C751B4">
        <w:rPr>
          <w:rFonts w:ascii="Times New Roman" w:hAnsi="Times New Roman" w:cs="Times New Roman"/>
          <w:sz w:val="24"/>
          <w:szCs w:val="24"/>
        </w:rPr>
        <w:t>internalised</w:t>
      </w:r>
      <w:proofErr w:type="spellEnd"/>
      <w:r w:rsidRPr="00C751B4">
        <w:rPr>
          <w:rFonts w:ascii="Times New Roman" w:hAnsi="Times New Roman" w:cs="Times New Roman"/>
          <w:sz w:val="24"/>
          <w:szCs w:val="24"/>
        </w:rPr>
        <w:t>.</w:t>
      </w:r>
    </w:p>
    <w:p w14:paraId="76116F8F" w14:textId="77777777" w:rsidR="00736FB2"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Sensitivity analysis should systematically vary:</w:t>
      </w:r>
    </w:p>
    <w:p w14:paraId="04F5CD83" w14:textId="14BD1D17" w:rsidR="00736FB2" w:rsidRDefault="00736FB2" w:rsidP="00C751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000000" w:rsidRPr="00C751B4">
        <w:rPr>
          <w:rFonts w:ascii="Times New Roman" w:hAnsi="Times New Roman" w:cs="Times New Roman"/>
          <w:sz w:val="24"/>
          <w:szCs w:val="24"/>
        </w:rPr>
        <w:t xml:space="preserve"> LNG FOB price (USD/MMBtu)</w:t>
      </w:r>
    </w:p>
    <w:p w14:paraId="09427286" w14:textId="77777777" w:rsidR="00736FB2"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(b) shipping distance and vessel size</w:t>
      </w:r>
    </w:p>
    <w:p w14:paraId="16699EA7" w14:textId="77777777" w:rsidR="00736FB2"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(c) FSRU versus onshore terminal capital and operating cost</w:t>
      </w:r>
    </w:p>
    <w:p w14:paraId="2F896E76" w14:textId="77777777" w:rsidR="00736FB2"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(d) power plant heat rate and capacity factor</w:t>
      </w:r>
    </w:p>
    <w:p w14:paraId="62B849A3" w14:textId="77777777" w:rsidR="00736FB2"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(e) cost of capital (WACC)</w:t>
      </w:r>
    </w:p>
    <w:p w14:paraId="07ABA768" w14:textId="77777777" w:rsidR="00736FB2"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(f) carbon price or emissions intensity differential versus HFO. </w:t>
      </w:r>
    </w:p>
    <w:p w14:paraId="770D70D1" w14:textId="52EDCBAE"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Break-even analysis against HFO-fired generation under current and projected fuel price paths will determine the economic case for both greenfield gas capacity and HFO conversion. Where capacity factors are low (peaking duty), the capital cost component of LCOE rises sharply, reinforcing the case for open-cycle or flexible combined-cycle configurations and for capacity payments that remunerate availability rather than energy alone.</w:t>
      </w:r>
    </w:p>
    <w:p w14:paraId="59ADFD2E" w14:textId="77777777"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From a project finance perspective, lenders will </w:t>
      </w:r>
      <w:proofErr w:type="spellStart"/>
      <w:r w:rsidRPr="00C751B4">
        <w:rPr>
          <w:rFonts w:ascii="Times New Roman" w:hAnsi="Times New Roman" w:cs="Times New Roman"/>
          <w:sz w:val="24"/>
          <w:szCs w:val="24"/>
        </w:rPr>
        <w:t>scrutinise</w:t>
      </w:r>
      <w:proofErr w:type="spellEnd"/>
      <w:r w:rsidRPr="00C751B4">
        <w:rPr>
          <w:rFonts w:ascii="Times New Roman" w:hAnsi="Times New Roman" w:cs="Times New Roman"/>
          <w:sz w:val="24"/>
          <w:szCs w:val="24"/>
        </w:rPr>
        <w:t xml:space="preserve"> offtake credit quality, fuel supply security, construction completion risk, and political/regulatory risk. Partial risk guarantees, political risk insurance, and blended finance from development finance institutions can materially improve the debt package and reduce the cost of capital. Early engagement with potential lenders and </w:t>
      </w:r>
      <w:proofErr w:type="spellStart"/>
      <w:r w:rsidRPr="00C751B4">
        <w:rPr>
          <w:rFonts w:ascii="Times New Roman" w:hAnsi="Times New Roman" w:cs="Times New Roman"/>
          <w:sz w:val="24"/>
          <w:szCs w:val="24"/>
        </w:rPr>
        <w:t>offtakers</w:t>
      </w:r>
      <w:proofErr w:type="spellEnd"/>
      <w:r w:rsidRPr="00C751B4">
        <w:rPr>
          <w:rFonts w:ascii="Times New Roman" w:hAnsi="Times New Roman" w:cs="Times New Roman"/>
          <w:sz w:val="24"/>
          <w:szCs w:val="24"/>
        </w:rPr>
        <w:t xml:space="preserve"> during the transaction advisory phase is therefore essential.</w:t>
      </w:r>
    </w:p>
    <w:p w14:paraId="02D6C646" w14:textId="034996DD" w:rsidR="009110B9" w:rsidRPr="00C751B4" w:rsidRDefault="00000000" w:rsidP="00C751B4">
      <w:pPr>
        <w:spacing w:before="320" w:after="160"/>
        <w:jc w:val="both"/>
        <w:rPr>
          <w:rFonts w:ascii="Times New Roman" w:hAnsi="Times New Roman" w:cs="Times New Roman"/>
          <w:sz w:val="24"/>
          <w:szCs w:val="24"/>
        </w:rPr>
      </w:pPr>
      <w:r w:rsidRPr="00C751B4">
        <w:rPr>
          <w:rFonts w:ascii="Times New Roman" w:hAnsi="Times New Roman" w:cs="Times New Roman"/>
          <w:b/>
          <w:sz w:val="24"/>
          <w:szCs w:val="24"/>
        </w:rPr>
        <w:t xml:space="preserve">Upstream Gas Development Concepts </w:t>
      </w:r>
    </w:p>
    <w:p w14:paraId="048128E0" w14:textId="77777777"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Should appraisal of </w:t>
      </w:r>
      <w:proofErr w:type="spellStart"/>
      <w:r w:rsidRPr="00C751B4">
        <w:rPr>
          <w:rFonts w:ascii="Times New Roman" w:hAnsi="Times New Roman" w:cs="Times New Roman"/>
          <w:sz w:val="24"/>
          <w:szCs w:val="24"/>
        </w:rPr>
        <w:t>Bogal</w:t>
      </w:r>
      <w:proofErr w:type="spellEnd"/>
      <w:r w:rsidRPr="00C751B4">
        <w:rPr>
          <w:rFonts w:ascii="Times New Roman" w:hAnsi="Times New Roman" w:cs="Times New Roman"/>
          <w:sz w:val="24"/>
          <w:szCs w:val="24"/>
        </w:rPr>
        <w:t xml:space="preserve"> or analogous Anza accumulations confirm commercial recoverable volumes, development concept selection will hinge on reserve size, well productivity, location relative to demand </w:t>
      </w:r>
      <w:proofErr w:type="spellStart"/>
      <w:r w:rsidRPr="00C751B4">
        <w:rPr>
          <w:rFonts w:ascii="Times New Roman" w:hAnsi="Times New Roman" w:cs="Times New Roman"/>
          <w:sz w:val="24"/>
          <w:szCs w:val="24"/>
        </w:rPr>
        <w:t>centres</w:t>
      </w:r>
      <w:proofErr w:type="spellEnd"/>
      <w:r w:rsidRPr="00C751B4">
        <w:rPr>
          <w:rFonts w:ascii="Times New Roman" w:hAnsi="Times New Roman" w:cs="Times New Roman"/>
          <w:sz w:val="24"/>
          <w:szCs w:val="24"/>
        </w:rPr>
        <w:t>, and fiscal terms. Screening-level concepts include:</w:t>
      </w:r>
    </w:p>
    <w:p w14:paraId="6A09CAC1"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Dedicated gas-to-power: Locate a power plant near the field and transmit electricity via the national grid. This avoids long-distance gas pipeline capital but requires grid connection capacity and may face higher transmission losses. Suitable for modest reserve sizes that cannot support pipeline economics.</w:t>
      </w:r>
    </w:p>
    <w:p w14:paraId="14B4337C"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Virtual pipeline (CNG or small-scale LNG): Compress or liquefy gas at the field and transport by road or rail to industrial or power customers. Higher unit operating cost than pipeline but lower capital and greater flexibility for staged development. Relevant for early production or dispersed demand.</w:t>
      </w:r>
    </w:p>
    <w:p w14:paraId="6027DD62"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xml:space="preserve">• Transmission pipeline to coastal or inland demand hub: Higher capital but lowest unit transport cost at scale. Requires firm offtake commitments and possibly multi-user access to </w:t>
      </w:r>
      <w:r w:rsidRPr="00C751B4">
        <w:rPr>
          <w:rFonts w:ascii="Times New Roman" w:hAnsi="Times New Roman" w:cs="Times New Roman"/>
          <w:sz w:val="24"/>
          <w:szCs w:val="24"/>
        </w:rPr>
        <w:lastRenderedPageBreak/>
        <w:t xml:space="preserve">underwrite the investment. Most relevant if recoverable volumes exceed several hundred Bcf and demand </w:t>
      </w:r>
      <w:proofErr w:type="spellStart"/>
      <w:r w:rsidRPr="00C751B4">
        <w:rPr>
          <w:rFonts w:ascii="Times New Roman" w:hAnsi="Times New Roman" w:cs="Times New Roman"/>
          <w:sz w:val="24"/>
          <w:szCs w:val="24"/>
        </w:rPr>
        <w:t>centres</w:t>
      </w:r>
      <w:proofErr w:type="spellEnd"/>
      <w:r w:rsidRPr="00C751B4">
        <w:rPr>
          <w:rFonts w:ascii="Times New Roman" w:hAnsi="Times New Roman" w:cs="Times New Roman"/>
          <w:sz w:val="24"/>
          <w:szCs w:val="24"/>
        </w:rPr>
        <w:t xml:space="preserve"> are concentrated.</w:t>
      </w:r>
    </w:p>
    <w:p w14:paraId="7464E16C" w14:textId="77777777"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For offshore Lamu gas, the capital intensity of deep-water subsea development (wet trees, manifolds, flowlines, risers) and either FLNG or long-distance export pipeline sets a high commercial threshold. Only large, high-productivity accumulations are likely to clear investment hurdles under current cost and price assumptions. Appraisal </w:t>
      </w:r>
      <w:proofErr w:type="spellStart"/>
      <w:r w:rsidRPr="00C751B4">
        <w:rPr>
          <w:rFonts w:ascii="Times New Roman" w:hAnsi="Times New Roman" w:cs="Times New Roman"/>
          <w:sz w:val="24"/>
          <w:szCs w:val="24"/>
        </w:rPr>
        <w:t>programmes</w:t>
      </w:r>
      <w:proofErr w:type="spellEnd"/>
      <w:r w:rsidRPr="00C751B4">
        <w:rPr>
          <w:rFonts w:ascii="Times New Roman" w:hAnsi="Times New Roman" w:cs="Times New Roman"/>
          <w:sz w:val="24"/>
          <w:szCs w:val="24"/>
        </w:rPr>
        <w:t xml:space="preserve"> should therefore be designed to quickly confirm or eliminate commercial potential, avoiding prolonged capital exposure on sub-threshold resources.</w:t>
      </w:r>
    </w:p>
    <w:p w14:paraId="5D28F0DB" w14:textId="392D5349" w:rsidR="009110B9" w:rsidRPr="00C751B4" w:rsidRDefault="00000000" w:rsidP="00C751B4">
      <w:pPr>
        <w:spacing w:before="320" w:after="160"/>
        <w:jc w:val="both"/>
        <w:rPr>
          <w:rFonts w:ascii="Times New Roman" w:hAnsi="Times New Roman" w:cs="Times New Roman"/>
          <w:sz w:val="24"/>
          <w:szCs w:val="24"/>
        </w:rPr>
      </w:pPr>
      <w:r w:rsidRPr="00C751B4">
        <w:rPr>
          <w:rFonts w:ascii="Times New Roman" w:hAnsi="Times New Roman" w:cs="Times New Roman"/>
          <w:b/>
          <w:sz w:val="24"/>
          <w:szCs w:val="24"/>
        </w:rPr>
        <w:t>LPG Infrastructure Engineering Standards and Best Practice</w:t>
      </w:r>
    </w:p>
    <w:p w14:paraId="06ACEEE2" w14:textId="77777777"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Primary LPG storage facilities at the Coast should be designed to applicable international codes (e.g., API 2510, EN 14620 for refrigerated storage where used, relevant pressure vessel codes for </w:t>
      </w:r>
      <w:proofErr w:type="spellStart"/>
      <w:r w:rsidRPr="00C751B4">
        <w:rPr>
          <w:rFonts w:ascii="Times New Roman" w:hAnsi="Times New Roman" w:cs="Times New Roman"/>
          <w:sz w:val="24"/>
          <w:szCs w:val="24"/>
        </w:rPr>
        <w:t>pressurised</w:t>
      </w:r>
      <w:proofErr w:type="spellEnd"/>
      <w:r w:rsidRPr="00C751B4">
        <w:rPr>
          <w:rFonts w:ascii="Times New Roman" w:hAnsi="Times New Roman" w:cs="Times New Roman"/>
          <w:sz w:val="24"/>
          <w:szCs w:val="24"/>
        </w:rPr>
        <w:t xml:space="preserve"> storage) and local EPRA and NEMA requirements. Key design elements include:</w:t>
      </w:r>
    </w:p>
    <w:p w14:paraId="3355081A"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xml:space="preserve">• Storage configuration: Mounded or buried </w:t>
      </w:r>
      <w:proofErr w:type="spellStart"/>
      <w:r w:rsidRPr="00C751B4">
        <w:rPr>
          <w:rFonts w:ascii="Times New Roman" w:hAnsi="Times New Roman" w:cs="Times New Roman"/>
          <w:sz w:val="24"/>
          <w:szCs w:val="24"/>
        </w:rPr>
        <w:t>pressurised</w:t>
      </w:r>
      <w:proofErr w:type="spellEnd"/>
      <w:r w:rsidRPr="00C751B4">
        <w:rPr>
          <w:rFonts w:ascii="Times New Roman" w:hAnsi="Times New Roman" w:cs="Times New Roman"/>
          <w:sz w:val="24"/>
          <w:szCs w:val="24"/>
        </w:rPr>
        <w:t xml:space="preserve"> bullets reduce land footprint and external hazard; aboveground spheres or bullets require larger separation distances. Refrigerated atmospheric storage is capital-intensive but efficient for large volumes.</w:t>
      </w:r>
    </w:p>
    <w:p w14:paraId="6024A988"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xml:space="preserve">• Marine interface: Dedicated or shared jetty with appropriate loading arms, emergency release systems, and </w:t>
      </w:r>
      <w:proofErr w:type="spellStart"/>
      <w:r w:rsidRPr="00C751B4">
        <w:rPr>
          <w:rFonts w:ascii="Times New Roman" w:hAnsi="Times New Roman" w:cs="Times New Roman"/>
          <w:sz w:val="24"/>
          <w:szCs w:val="24"/>
        </w:rPr>
        <w:t>vapour</w:t>
      </w:r>
      <w:proofErr w:type="spellEnd"/>
      <w:r w:rsidRPr="00C751B4">
        <w:rPr>
          <w:rFonts w:ascii="Times New Roman" w:hAnsi="Times New Roman" w:cs="Times New Roman"/>
          <w:sz w:val="24"/>
          <w:szCs w:val="24"/>
        </w:rPr>
        <w:t xml:space="preserve"> return. Compatibility with expected vessel sizes and simultaneous operations protocols with adjacent petroleum terminals.</w:t>
      </w:r>
    </w:p>
    <w:p w14:paraId="7988A94F"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Fire protection: Detection (flame, gas, heat), fixed water spray or deluge systems, firewater supply and retention, and emergency shutdown systems integrated with plant control.</w:t>
      </w:r>
    </w:p>
    <w:p w14:paraId="0AD432EA" w14:textId="77777777" w:rsidR="009110B9" w:rsidRPr="00C751B4" w:rsidRDefault="00000000" w:rsidP="00C751B4">
      <w:pPr>
        <w:spacing w:after="60" w:line="276" w:lineRule="auto"/>
        <w:ind w:left="360"/>
        <w:jc w:val="both"/>
        <w:rPr>
          <w:rFonts w:ascii="Times New Roman" w:hAnsi="Times New Roman" w:cs="Times New Roman"/>
          <w:sz w:val="24"/>
          <w:szCs w:val="24"/>
        </w:rPr>
      </w:pPr>
      <w:r w:rsidRPr="00C751B4">
        <w:rPr>
          <w:rFonts w:ascii="Times New Roman" w:hAnsi="Times New Roman" w:cs="Times New Roman"/>
          <w:sz w:val="24"/>
          <w:szCs w:val="24"/>
        </w:rPr>
        <w:t xml:space="preserve">• </w:t>
      </w:r>
      <w:proofErr w:type="spellStart"/>
      <w:r w:rsidRPr="00C751B4">
        <w:rPr>
          <w:rFonts w:ascii="Times New Roman" w:hAnsi="Times New Roman" w:cs="Times New Roman"/>
          <w:sz w:val="24"/>
          <w:szCs w:val="24"/>
        </w:rPr>
        <w:t>Vapour</w:t>
      </w:r>
      <w:proofErr w:type="spellEnd"/>
      <w:r w:rsidRPr="00C751B4">
        <w:rPr>
          <w:rFonts w:ascii="Times New Roman" w:hAnsi="Times New Roman" w:cs="Times New Roman"/>
          <w:sz w:val="24"/>
          <w:szCs w:val="24"/>
        </w:rPr>
        <w:t xml:space="preserve"> management: Recovery or controlled flaring/venting during ship unloading and operational transfers to </w:t>
      </w:r>
      <w:proofErr w:type="spellStart"/>
      <w:r w:rsidRPr="00C751B4">
        <w:rPr>
          <w:rFonts w:ascii="Times New Roman" w:hAnsi="Times New Roman" w:cs="Times New Roman"/>
          <w:sz w:val="24"/>
          <w:szCs w:val="24"/>
        </w:rPr>
        <w:t>minimise</w:t>
      </w:r>
      <w:proofErr w:type="spellEnd"/>
      <w:r w:rsidRPr="00C751B4">
        <w:rPr>
          <w:rFonts w:ascii="Times New Roman" w:hAnsi="Times New Roman" w:cs="Times New Roman"/>
          <w:sz w:val="24"/>
          <w:szCs w:val="24"/>
        </w:rPr>
        <w:t xml:space="preserve"> emissions and product loss.</w:t>
      </w:r>
    </w:p>
    <w:p w14:paraId="3EB5ABD8" w14:textId="6E3D7C98" w:rsidR="00736FB2" w:rsidRDefault="00000000" w:rsidP="00736FB2">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Secondary filling plants should incorporate automated filling carousels or stations with mass or volumetric metering, leak testing, and cylinder tracking systems. Mutual cylinder exchange agreements, as provided for under EPRA LPG regulations, improve </w:t>
      </w:r>
      <w:proofErr w:type="spellStart"/>
      <w:r w:rsidRPr="00C751B4">
        <w:rPr>
          <w:rFonts w:ascii="Times New Roman" w:hAnsi="Times New Roman" w:cs="Times New Roman"/>
          <w:sz w:val="24"/>
          <w:szCs w:val="24"/>
        </w:rPr>
        <w:t>utilisation</w:t>
      </w:r>
      <w:proofErr w:type="spellEnd"/>
      <w:r w:rsidRPr="00C751B4">
        <w:rPr>
          <w:rFonts w:ascii="Times New Roman" w:hAnsi="Times New Roman" w:cs="Times New Roman"/>
          <w:sz w:val="24"/>
          <w:szCs w:val="24"/>
        </w:rPr>
        <w:t xml:space="preserve"> and reduce the circulation of </w:t>
      </w:r>
      <w:proofErr w:type="spellStart"/>
      <w:r w:rsidRPr="00C751B4">
        <w:rPr>
          <w:rFonts w:ascii="Times New Roman" w:hAnsi="Times New Roman" w:cs="Times New Roman"/>
          <w:sz w:val="24"/>
          <w:szCs w:val="24"/>
        </w:rPr>
        <w:t>unauthorised</w:t>
      </w:r>
      <w:proofErr w:type="spellEnd"/>
      <w:r w:rsidRPr="00C751B4">
        <w:rPr>
          <w:rFonts w:ascii="Times New Roman" w:hAnsi="Times New Roman" w:cs="Times New Roman"/>
          <w:sz w:val="24"/>
          <w:szCs w:val="24"/>
        </w:rPr>
        <w:t xml:space="preserve"> or poorly maintained cylinders</w:t>
      </w:r>
      <w:r w:rsidR="00736FB2">
        <w:rPr>
          <w:rFonts w:ascii="Times New Roman" w:hAnsi="Times New Roman" w:cs="Times New Roman"/>
          <w:sz w:val="24"/>
          <w:szCs w:val="24"/>
        </w:rPr>
        <w:t xml:space="preserve"> </w:t>
      </w:r>
      <w:r w:rsidRPr="00C751B4">
        <w:rPr>
          <w:rFonts w:ascii="Times New Roman" w:hAnsi="Times New Roman" w:cs="Times New Roman"/>
          <w:sz w:val="24"/>
          <w:szCs w:val="24"/>
        </w:rPr>
        <w:t>a significant safety and brand integrity issue in many emerging LPG markets.</w:t>
      </w:r>
    </w:p>
    <w:p w14:paraId="0BB67763" w14:textId="77777777" w:rsidR="00736FB2" w:rsidRPr="00C751B4" w:rsidRDefault="00736FB2" w:rsidP="00736FB2">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Strategic Recommendations</w:t>
      </w:r>
    </w:p>
    <w:p w14:paraId="720ECFD4" w14:textId="77777777" w:rsidR="00736FB2" w:rsidRPr="00C751B4" w:rsidRDefault="00736FB2" w:rsidP="00736FB2">
      <w:pPr>
        <w:spacing w:after="120"/>
        <w:jc w:val="both"/>
        <w:rPr>
          <w:rFonts w:ascii="Times New Roman" w:hAnsi="Times New Roman" w:cs="Times New Roman"/>
          <w:sz w:val="24"/>
          <w:szCs w:val="24"/>
        </w:rPr>
      </w:pPr>
      <w:r w:rsidRPr="00C751B4">
        <w:rPr>
          <w:rFonts w:ascii="Times New Roman" w:hAnsi="Times New Roman" w:cs="Times New Roman"/>
          <w:sz w:val="24"/>
          <w:szCs w:val="24"/>
        </w:rPr>
        <w:t>For government and regulators:</w:t>
      </w:r>
    </w:p>
    <w:p w14:paraId="3D47E111" w14:textId="77777777" w:rsidR="00736FB2" w:rsidRPr="00C751B4" w:rsidRDefault="00736FB2" w:rsidP="00736FB2">
      <w:pPr>
        <w:pStyle w:val="ListParagraph"/>
        <w:numPr>
          <w:ilvl w:val="0"/>
          <w:numId w:val="6"/>
        </w:numPr>
        <w:jc w:val="both"/>
        <w:rPr>
          <w:rFonts w:ascii="Times New Roman" w:hAnsi="Times New Roman" w:cs="Times New Roman"/>
          <w:sz w:val="24"/>
          <w:szCs w:val="24"/>
        </w:rPr>
      </w:pPr>
      <w:proofErr w:type="spellStart"/>
      <w:r w:rsidRPr="00C751B4">
        <w:rPr>
          <w:rFonts w:ascii="Times New Roman" w:hAnsi="Times New Roman" w:cs="Times New Roman"/>
          <w:sz w:val="24"/>
          <w:szCs w:val="24"/>
        </w:rPr>
        <w:t>Finalise</w:t>
      </w:r>
      <w:proofErr w:type="spellEnd"/>
      <w:r w:rsidRPr="00C751B4">
        <w:rPr>
          <w:rFonts w:ascii="Times New Roman" w:hAnsi="Times New Roman" w:cs="Times New Roman"/>
          <w:sz w:val="24"/>
          <w:szCs w:val="24"/>
        </w:rPr>
        <w:t xml:space="preserve"> and </w:t>
      </w:r>
      <w:proofErr w:type="spellStart"/>
      <w:r w:rsidRPr="00C751B4">
        <w:rPr>
          <w:rFonts w:ascii="Times New Roman" w:hAnsi="Times New Roman" w:cs="Times New Roman"/>
          <w:sz w:val="24"/>
          <w:szCs w:val="24"/>
        </w:rPr>
        <w:t>operationalise</w:t>
      </w:r>
      <w:proofErr w:type="spellEnd"/>
      <w:r w:rsidRPr="00C751B4">
        <w:rPr>
          <w:rFonts w:ascii="Times New Roman" w:hAnsi="Times New Roman" w:cs="Times New Roman"/>
          <w:sz w:val="24"/>
          <w:szCs w:val="24"/>
        </w:rPr>
        <w:t xml:space="preserve"> the 2026 upstream/midstream regulation suite promptly to provide a clear, stable investment framework.</w:t>
      </w:r>
    </w:p>
    <w:p w14:paraId="09921621" w14:textId="77777777" w:rsidR="00736FB2" w:rsidRPr="00C751B4" w:rsidRDefault="00736FB2" w:rsidP="00736FB2">
      <w:pPr>
        <w:pStyle w:val="ListParagraph"/>
        <w:numPr>
          <w:ilvl w:val="0"/>
          <w:numId w:val="6"/>
        </w:numPr>
        <w:jc w:val="both"/>
        <w:rPr>
          <w:rFonts w:ascii="Times New Roman" w:hAnsi="Times New Roman" w:cs="Times New Roman"/>
          <w:sz w:val="24"/>
          <w:szCs w:val="24"/>
        </w:rPr>
      </w:pPr>
      <w:r w:rsidRPr="00C751B4">
        <w:rPr>
          <w:rFonts w:ascii="Times New Roman" w:hAnsi="Times New Roman" w:cs="Times New Roman"/>
          <w:sz w:val="24"/>
          <w:szCs w:val="24"/>
        </w:rPr>
        <w:t>Structure the Dongo Kundu LNG-to-power project as a bankable PPP with transparent offtake, competitive LNG procurement, and phased capacity that matches credible demand forecasts.</w:t>
      </w:r>
    </w:p>
    <w:p w14:paraId="4467B85E" w14:textId="77777777" w:rsidR="00736FB2" w:rsidRPr="00C751B4" w:rsidRDefault="00736FB2" w:rsidP="00736FB2">
      <w:pPr>
        <w:pStyle w:val="ListParagraph"/>
        <w:numPr>
          <w:ilvl w:val="0"/>
          <w:numId w:val="6"/>
        </w:numPr>
        <w:jc w:val="both"/>
        <w:rPr>
          <w:rFonts w:ascii="Times New Roman" w:hAnsi="Times New Roman" w:cs="Times New Roman"/>
          <w:sz w:val="24"/>
          <w:szCs w:val="24"/>
        </w:rPr>
      </w:pPr>
      <w:r w:rsidRPr="00C751B4">
        <w:rPr>
          <w:rFonts w:ascii="Times New Roman" w:hAnsi="Times New Roman" w:cs="Times New Roman"/>
          <w:sz w:val="24"/>
          <w:szCs w:val="24"/>
        </w:rPr>
        <w:t>Maintain LPG fiscal incentives and accelerate OTS and storage expansion to lock in clean-cooking gains.</w:t>
      </w:r>
    </w:p>
    <w:p w14:paraId="5A18D9D2" w14:textId="77777777" w:rsidR="00736FB2" w:rsidRPr="00C751B4" w:rsidRDefault="00736FB2" w:rsidP="00736FB2">
      <w:pPr>
        <w:pStyle w:val="ListParagraph"/>
        <w:numPr>
          <w:ilvl w:val="0"/>
          <w:numId w:val="6"/>
        </w:numPr>
        <w:spacing w:after="120"/>
        <w:jc w:val="both"/>
        <w:rPr>
          <w:rFonts w:ascii="Times New Roman" w:hAnsi="Times New Roman" w:cs="Times New Roman"/>
          <w:sz w:val="24"/>
          <w:szCs w:val="24"/>
        </w:rPr>
      </w:pPr>
      <w:r w:rsidRPr="00C751B4">
        <w:rPr>
          <w:rFonts w:ascii="Times New Roman" w:hAnsi="Times New Roman" w:cs="Times New Roman"/>
          <w:sz w:val="24"/>
          <w:szCs w:val="24"/>
        </w:rPr>
        <w:lastRenderedPageBreak/>
        <w:t xml:space="preserve">Package high-quality data rooms for the next licensing round, </w:t>
      </w:r>
      <w:proofErr w:type="spellStart"/>
      <w:r w:rsidRPr="00C751B4">
        <w:rPr>
          <w:rFonts w:ascii="Times New Roman" w:hAnsi="Times New Roman" w:cs="Times New Roman"/>
          <w:sz w:val="24"/>
          <w:szCs w:val="24"/>
        </w:rPr>
        <w:t>prioritising</w:t>
      </w:r>
      <w:proofErr w:type="spellEnd"/>
      <w:r w:rsidRPr="00C751B4">
        <w:rPr>
          <w:rFonts w:ascii="Times New Roman" w:hAnsi="Times New Roman" w:cs="Times New Roman"/>
          <w:sz w:val="24"/>
          <w:szCs w:val="24"/>
        </w:rPr>
        <w:t xml:space="preserve"> Anza and Lamu blocks with existing discoveries or strong leads; apply risked volumetric and commercial screening.</w:t>
      </w:r>
    </w:p>
    <w:p w14:paraId="066927CE" w14:textId="77777777" w:rsidR="00736FB2" w:rsidRPr="00C751B4" w:rsidRDefault="00736FB2" w:rsidP="00736FB2">
      <w:pPr>
        <w:spacing w:after="120"/>
        <w:jc w:val="both"/>
        <w:rPr>
          <w:rFonts w:ascii="Times New Roman" w:hAnsi="Times New Roman" w:cs="Times New Roman"/>
          <w:sz w:val="24"/>
          <w:szCs w:val="24"/>
        </w:rPr>
      </w:pPr>
      <w:r w:rsidRPr="00C751B4">
        <w:rPr>
          <w:rFonts w:ascii="Times New Roman" w:hAnsi="Times New Roman" w:cs="Times New Roman"/>
          <w:sz w:val="24"/>
          <w:szCs w:val="24"/>
        </w:rPr>
        <w:t>For investors and operators:</w:t>
      </w:r>
    </w:p>
    <w:p w14:paraId="0B28CD80" w14:textId="77777777" w:rsidR="00736FB2" w:rsidRPr="00C751B4" w:rsidRDefault="00736FB2" w:rsidP="00736FB2">
      <w:pPr>
        <w:pStyle w:val="ListParagraph"/>
        <w:numPr>
          <w:ilvl w:val="0"/>
          <w:numId w:val="7"/>
        </w:numPr>
        <w:jc w:val="both"/>
        <w:rPr>
          <w:rFonts w:ascii="Times New Roman" w:hAnsi="Times New Roman" w:cs="Times New Roman"/>
          <w:sz w:val="24"/>
          <w:szCs w:val="24"/>
        </w:rPr>
      </w:pPr>
      <w:proofErr w:type="spellStart"/>
      <w:r w:rsidRPr="00C751B4">
        <w:rPr>
          <w:rFonts w:ascii="Times New Roman" w:hAnsi="Times New Roman" w:cs="Times New Roman"/>
          <w:sz w:val="24"/>
          <w:szCs w:val="24"/>
        </w:rPr>
        <w:t>Prioritise</w:t>
      </w:r>
      <w:proofErr w:type="spellEnd"/>
      <w:r w:rsidRPr="00C751B4">
        <w:rPr>
          <w:rFonts w:ascii="Times New Roman" w:hAnsi="Times New Roman" w:cs="Times New Roman"/>
          <w:sz w:val="24"/>
          <w:szCs w:val="24"/>
        </w:rPr>
        <w:t xml:space="preserve"> LNG-to-power and LPG midstream/downstream opportunities with clearer near-term cash-flow visibility over pure frontier exploration.</w:t>
      </w:r>
    </w:p>
    <w:p w14:paraId="37605BCD" w14:textId="77777777" w:rsidR="00736FB2" w:rsidRPr="00C751B4" w:rsidRDefault="00736FB2" w:rsidP="00736FB2">
      <w:pPr>
        <w:pStyle w:val="ListParagraph"/>
        <w:numPr>
          <w:ilvl w:val="0"/>
          <w:numId w:val="7"/>
        </w:numPr>
        <w:jc w:val="both"/>
        <w:rPr>
          <w:rFonts w:ascii="Times New Roman" w:hAnsi="Times New Roman" w:cs="Times New Roman"/>
          <w:sz w:val="24"/>
          <w:szCs w:val="24"/>
        </w:rPr>
      </w:pPr>
      <w:r w:rsidRPr="00C751B4">
        <w:rPr>
          <w:rFonts w:ascii="Times New Roman" w:hAnsi="Times New Roman" w:cs="Times New Roman"/>
          <w:sz w:val="24"/>
          <w:szCs w:val="24"/>
        </w:rPr>
        <w:t>For upstream, treat Kenya as a portfolio option: participate selectively where data quality and fiscal terms support risked economics; avoid over-</w:t>
      </w:r>
      <w:proofErr w:type="spellStart"/>
      <w:r w:rsidRPr="00C751B4">
        <w:rPr>
          <w:rFonts w:ascii="Times New Roman" w:hAnsi="Times New Roman" w:cs="Times New Roman"/>
          <w:sz w:val="24"/>
          <w:szCs w:val="24"/>
        </w:rPr>
        <w:t>capitalisation</w:t>
      </w:r>
      <w:proofErr w:type="spellEnd"/>
      <w:r w:rsidRPr="00C751B4">
        <w:rPr>
          <w:rFonts w:ascii="Times New Roman" w:hAnsi="Times New Roman" w:cs="Times New Roman"/>
          <w:sz w:val="24"/>
          <w:szCs w:val="24"/>
        </w:rPr>
        <w:t xml:space="preserve"> on </w:t>
      </w:r>
      <w:proofErr w:type="spellStart"/>
      <w:r w:rsidRPr="00C751B4">
        <w:rPr>
          <w:rFonts w:ascii="Times New Roman" w:hAnsi="Times New Roman" w:cs="Times New Roman"/>
          <w:sz w:val="24"/>
          <w:szCs w:val="24"/>
        </w:rPr>
        <w:t>unappraised</w:t>
      </w:r>
      <w:proofErr w:type="spellEnd"/>
      <w:r w:rsidRPr="00C751B4">
        <w:rPr>
          <w:rFonts w:ascii="Times New Roman" w:hAnsi="Times New Roman" w:cs="Times New Roman"/>
          <w:sz w:val="24"/>
          <w:szCs w:val="24"/>
        </w:rPr>
        <w:t xml:space="preserve"> gas.</w:t>
      </w:r>
    </w:p>
    <w:p w14:paraId="06AE9913" w14:textId="77777777" w:rsidR="00736FB2" w:rsidRPr="00C751B4" w:rsidRDefault="00736FB2" w:rsidP="00736FB2">
      <w:pPr>
        <w:pStyle w:val="ListParagraph"/>
        <w:numPr>
          <w:ilvl w:val="0"/>
          <w:numId w:val="7"/>
        </w:num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Build local partnerships and training </w:t>
      </w:r>
      <w:proofErr w:type="spellStart"/>
      <w:r w:rsidRPr="00C751B4">
        <w:rPr>
          <w:rFonts w:ascii="Times New Roman" w:hAnsi="Times New Roman" w:cs="Times New Roman"/>
          <w:sz w:val="24"/>
          <w:szCs w:val="24"/>
        </w:rPr>
        <w:t>programmes</w:t>
      </w:r>
      <w:proofErr w:type="spellEnd"/>
      <w:r w:rsidRPr="00C751B4">
        <w:rPr>
          <w:rFonts w:ascii="Times New Roman" w:hAnsi="Times New Roman" w:cs="Times New Roman"/>
          <w:sz w:val="24"/>
          <w:szCs w:val="24"/>
        </w:rPr>
        <w:t xml:space="preserve"> early to satisfy local content trajectories without compromising technical standards.</w:t>
      </w:r>
    </w:p>
    <w:p w14:paraId="733319F5" w14:textId="77777777" w:rsidR="00736FB2" w:rsidRPr="00C751B4" w:rsidRDefault="00736FB2" w:rsidP="00736FB2">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For </w:t>
      </w:r>
      <w:proofErr w:type="spellStart"/>
      <w:r w:rsidRPr="00C751B4">
        <w:rPr>
          <w:rFonts w:ascii="Times New Roman" w:hAnsi="Times New Roman" w:cs="Times New Roman"/>
          <w:sz w:val="24"/>
          <w:szCs w:val="24"/>
        </w:rPr>
        <w:t>offtakers</w:t>
      </w:r>
      <w:proofErr w:type="spellEnd"/>
      <w:r w:rsidRPr="00C751B4">
        <w:rPr>
          <w:rFonts w:ascii="Times New Roman" w:hAnsi="Times New Roman" w:cs="Times New Roman"/>
          <w:sz w:val="24"/>
          <w:szCs w:val="24"/>
        </w:rPr>
        <w:t xml:space="preserve"> and system planners:</w:t>
      </w:r>
    </w:p>
    <w:p w14:paraId="0A77C4B8" w14:textId="77777777" w:rsidR="00736FB2" w:rsidRPr="00C751B4" w:rsidRDefault="00736FB2" w:rsidP="00736FB2">
      <w:pPr>
        <w:pStyle w:val="ListParagraph"/>
        <w:numPr>
          <w:ilvl w:val="0"/>
          <w:numId w:val="8"/>
        </w:numPr>
        <w:jc w:val="both"/>
        <w:rPr>
          <w:rFonts w:ascii="Times New Roman" w:hAnsi="Times New Roman" w:cs="Times New Roman"/>
          <w:sz w:val="24"/>
          <w:szCs w:val="24"/>
        </w:rPr>
      </w:pPr>
      <w:r w:rsidRPr="00C751B4">
        <w:rPr>
          <w:rFonts w:ascii="Times New Roman" w:hAnsi="Times New Roman" w:cs="Times New Roman"/>
          <w:sz w:val="24"/>
          <w:szCs w:val="24"/>
        </w:rPr>
        <w:t>Explicitly value the flexibility and firm capacity attributes of gas in planning and tariff design; avoid treating gas solely as a baseload competitor to geothermal.</w:t>
      </w:r>
    </w:p>
    <w:p w14:paraId="2FC26BEF" w14:textId="77777777" w:rsidR="00736FB2" w:rsidRPr="00C751B4" w:rsidRDefault="00736FB2" w:rsidP="00736FB2">
      <w:pPr>
        <w:pStyle w:val="ListParagraph"/>
        <w:numPr>
          <w:ilvl w:val="0"/>
          <w:numId w:val="8"/>
        </w:numPr>
        <w:spacing w:after="120"/>
        <w:jc w:val="both"/>
        <w:rPr>
          <w:rFonts w:ascii="Times New Roman" w:hAnsi="Times New Roman" w:cs="Times New Roman"/>
          <w:sz w:val="24"/>
          <w:szCs w:val="24"/>
        </w:rPr>
      </w:pPr>
      <w:r w:rsidRPr="00C751B4">
        <w:rPr>
          <w:rFonts w:ascii="Times New Roman" w:hAnsi="Times New Roman" w:cs="Times New Roman"/>
          <w:sz w:val="24"/>
          <w:szCs w:val="24"/>
        </w:rPr>
        <w:t>Coordinate transmission reinforcements with generation phasing to prevent evacuation bottlenecks at Dongo Kundu and converted sites.</w:t>
      </w:r>
    </w:p>
    <w:p w14:paraId="50B3864A" w14:textId="77777777" w:rsidR="00736FB2" w:rsidRPr="00C751B4" w:rsidRDefault="00736FB2" w:rsidP="00736FB2">
      <w:pPr>
        <w:pStyle w:val="Heading1"/>
        <w:jc w:val="both"/>
        <w:rPr>
          <w:rFonts w:ascii="Times New Roman" w:hAnsi="Times New Roman" w:cs="Times New Roman"/>
          <w:color w:val="auto"/>
          <w:sz w:val="24"/>
          <w:szCs w:val="24"/>
        </w:rPr>
      </w:pPr>
      <w:r w:rsidRPr="00C751B4">
        <w:rPr>
          <w:rFonts w:ascii="Times New Roman" w:hAnsi="Times New Roman" w:cs="Times New Roman"/>
          <w:color w:val="auto"/>
          <w:sz w:val="24"/>
          <w:szCs w:val="24"/>
        </w:rPr>
        <w:t>Conclusion</w:t>
      </w:r>
    </w:p>
    <w:p w14:paraId="1233B641" w14:textId="77777777" w:rsidR="00736FB2" w:rsidRPr="00C751B4" w:rsidRDefault="00736FB2" w:rsidP="00736FB2">
      <w:pPr>
        <w:spacing w:after="120"/>
        <w:jc w:val="both"/>
        <w:rPr>
          <w:rFonts w:ascii="Times New Roman" w:hAnsi="Times New Roman" w:cs="Times New Roman"/>
          <w:sz w:val="24"/>
          <w:szCs w:val="24"/>
        </w:rPr>
      </w:pPr>
      <w:r w:rsidRPr="00C751B4">
        <w:rPr>
          <w:rFonts w:ascii="Times New Roman" w:hAnsi="Times New Roman" w:cs="Times New Roman"/>
          <w:sz w:val="24"/>
          <w:szCs w:val="24"/>
        </w:rPr>
        <w:t>Kenya’s emerging gas market is real but asymmetric. Domestic natural gas resources exist in the subsurface yet remain commercially undeveloped. The near-term market will therefore be built on imported LNG for power and continued rapid growth of the LPG chain. The 1,200 MW Dongo Kundu project and associated import infrastructure represent the single largest gas-related investment opportunity and the critical path for establishing natural gas as a system fuel. Success requires disciplined engineering, bankable commercial structures, and regulatory completion.</w:t>
      </w:r>
    </w:p>
    <w:p w14:paraId="64E38845" w14:textId="40DC7A49" w:rsidR="00736FB2" w:rsidRPr="00C751B4" w:rsidRDefault="00736FB2" w:rsidP="00736FB2">
      <w:pPr>
        <w:spacing w:after="120"/>
        <w:jc w:val="both"/>
        <w:rPr>
          <w:rFonts w:ascii="Times New Roman" w:hAnsi="Times New Roman" w:cs="Times New Roman"/>
          <w:sz w:val="24"/>
          <w:szCs w:val="24"/>
        </w:rPr>
      </w:pPr>
      <w:r w:rsidRPr="00C751B4">
        <w:rPr>
          <w:rFonts w:ascii="Times New Roman" w:hAnsi="Times New Roman" w:cs="Times New Roman"/>
          <w:sz w:val="24"/>
          <w:szCs w:val="24"/>
        </w:rPr>
        <w:t xml:space="preserve">Upstream gas </w:t>
      </w:r>
      <w:proofErr w:type="spellStart"/>
      <w:r w:rsidRPr="00C751B4">
        <w:rPr>
          <w:rFonts w:ascii="Times New Roman" w:hAnsi="Times New Roman" w:cs="Times New Roman"/>
          <w:sz w:val="24"/>
          <w:szCs w:val="24"/>
        </w:rPr>
        <w:t>commercialisation</w:t>
      </w:r>
      <w:proofErr w:type="spellEnd"/>
      <w:r w:rsidRPr="00C751B4">
        <w:rPr>
          <w:rFonts w:ascii="Times New Roman" w:hAnsi="Times New Roman" w:cs="Times New Roman"/>
          <w:sz w:val="24"/>
          <w:szCs w:val="24"/>
        </w:rPr>
        <w:t xml:space="preserve"> in Anza and Lamu is a medium-term option that depends on appraisal outcomes and development economics; it should be pursued but not assumed. LPG offers a proven, scalable, and socially impactful pathway already delivering measurable demand growth. Across all pathways, technical </w:t>
      </w:r>
      <w:proofErr w:type="spellStart"/>
      <w:r w:rsidRPr="00C751B4">
        <w:rPr>
          <w:rFonts w:ascii="Times New Roman" w:hAnsi="Times New Roman" w:cs="Times New Roman"/>
          <w:sz w:val="24"/>
          <w:szCs w:val="24"/>
        </w:rPr>
        <w:t>rigour</w:t>
      </w:r>
      <w:proofErr w:type="spellEnd"/>
      <w:r>
        <w:rPr>
          <w:rFonts w:ascii="Times New Roman" w:hAnsi="Times New Roman" w:cs="Times New Roman"/>
          <w:sz w:val="24"/>
          <w:szCs w:val="24"/>
        </w:rPr>
        <w:t xml:space="preserve"> </w:t>
      </w:r>
      <w:r w:rsidRPr="00C751B4">
        <w:rPr>
          <w:rFonts w:ascii="Times New Roman" w:hAnsi="Times New Roman" w:cs="Times New Roman"/>
          <w:sz w:val="24"/>
          <w:szCs w:val="24"/>
        </w:rPr>
        <w:t>reservoir evaluation, cryogenic and power plant design, integrity management, and system integration</w:t>
      </w:r>
      <w:r>
        <w:rPr>
          <w:rFonts w:ascii="Times New Roman" w:hAnsi="Times New Roman" w:cs="Times New Roman"/>
          <w:sz w:val="24"/>
          <w:szCs w:val="24"/>
        </w:rPr>
        <w:t xml:space="preserve"> </w:t>
      </w:r>
      <w:r w:rsidRPr="00C751B4">
        <w:rPr>
          <w:rFonts w:ascii="Times New Roman" w:hAnsi="Times New Roman" w:cs="Times New Roman"/>
          <w:sz w:val="24"/>
          <w:szCs w:val="24"/>
        </w:rPr>
        <w:t>must match the ambition of policy targets. For investors prepared to navigate frontier risk with appropriate structures, Kenya’s gas market offers meaningful opportunities aligned with both energy security and the energy transition.</w:t>
      </w:r>
    </w:p>
    <w:p w14:paraId="7A1111BC" w14:textId="47E1D2E5" w:rsidR="009110B9" w:rsidRPr="00C751B4" w:rsidRDefault="00000000" w:rsidP="00C751B4">
      <w:pPr>
        <w:spacing w:before="320" w:after="160"/>
        <w:jc w:val="both"/>
        <w:rPr>
          <w:rFonts w:ascii="Times New Roman" w:hAnsi="Times New Roman" w:cs="Times New Roman"/>
          <w:sz w:val="24"/>
          <w:szCs w:val="24"/>
        </w:rPr>
      </w:pPr>
      <w:r w:rsidRPr="00C751B4">
        <w:rPr>
          <w:rFonts w:ascii="Times New Roman" w:hAnsi="Times New Roman" w:cs="Times New Roman"/>
          <w:b/>
          <w:sz w:val="24"/>
          <w:szCs w:val="24"/>
        </w:rPr>
        <w:t>Closing Observations for Technical Decision-Makers</w:t>
      </w:r>
    </w:p>
    <w:p w14:paraId="7BE24DF5" w14:textId="177592C4"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 xml:space="preserve">Kenya’s gas market will not be built on a single transformative upstream discovery in the near term. It will be built on disciplined execution of LNG import and power infrastructure, sustained LPG value-chain investment, and selective, risk-managed upstream activity. Engineering professionals involved in these </w:t>
      </w:r>
      <w:proofErr w:type="spellStart"/>
      <w:r w:rsidRPr="00C751B4">
        <w:rPr>
          <w:rFonts w:ascii="Times New Roman" w:hAnsi="Times New Roman" w:cs="Times New Roman"/>
          <w:sz w:val="24"/>
          <w:szCs w:val="24"/>
        </w:rPr>
        <w:t>programmes</w:t>
      </w:r>
      <w:proofErr w:type="spellEnd"/>
      <w:r w:rsidRPr="00C751B4">
        <w:rPr>
          <w:rFonts w:ascii="Times New Roman" w:hAnsi="Times New Roman" w:cs="Times New Roman"/>
          <w:sz w:val="24"/>
          <w:szCs w:val="24"/>
        </w:rPr>
        <w:t xml:space="preserve"> should insist on: rigorous subsurface evaluation before capital commitment; fit-for-purpose rather than over-specified surface facilities; explicit treatment of flexibility and reliability in power plant design; and integrity and safety systems that meet international benchmarks from day one. Policy and commercial frameworks that support these technical priorities</w:t>
      </w:r>
      <w:r w:rsidR="00736FB2">
        <w:rPr>
          <w:rFonts w:ascii="Times New Roman" w:hAnsi="Times New Roman" w:cs="Times New Roman"/>
          <w:sz w:val="24"/>
          <w:szCs w:val="24"/>
        </w:rPr>
        <w:t xml:space="preserve"> </w:t>
      </w:r>
      <w:r w:rsidRPr="00C751B4">
        <w:rPr>
          <w:rFonts w:ascii="Times New Roman" w:hAnsi="Times New Roman" w:cs="Times New Roman"/>
          <w:sz w:val="24"/>
          <w:szCs w:val="24"/>
        </w:rPr>
        <w:t xml:space="preserve">stable regulation, bankable offtake, competitive procurement, and </w:t>
      </w:r>
      <w:r w:rsidRPr="00C751B4">
        <w:rPr>
          <w:rFonts w:ascii="Times New Roman" w:hAnsi="Times New Roman" w:cs="Times New Roman"/>
          <w:sz w:val="24"/>
          <w:szCs w:val="24"/>
        </w:rPr>
        <w:lastRenderedPageBreak/>
        <w:t>calibrated local content</w:t>
      </w:r>
      <w:r w:rsidR="00736FB2">
        <w:rPr>
          <w:rFonts w:ascii="Times New Roman" w:hAnsi="Times New Roman" w:cs="Times New Roman"/>
          <w:sz w:val="24"/>
          <w:szCs w:val="24"/>
        </w:rPr>
        <w:t xml:space="preserve"> </w:t>
      </w:r>
      <w:r w:rsidRPr="00C751B4">
        <w:rPr>
          <w:rFonts w:ascii="Times New Roman" w:hAnsi="Times New Roman" w:cs="Times New Roman"/>
          <w:sz w:val="24"/>
          <w:szCs w:val="24"/>
        </w:rPr>
        <w:t>will determine whether Kenya’s emerging gas market delivers on its potential for energy security, economic development, and a managed energy transition.</w:t>
      </w:r>
    </w:p>
    <w:p w14:paraId="33D5A92A" w14:textId="02EA32FF" w:rsidR="009110B9" w:rsidRPr="00C751B4" w:rsidRDefault="00000000" w:rsidP="00C751B4">
      <w:pPr>
        <w:spacing w:after="120" w:line="276" w:lineRule="auto"/>
        <w:jc w:val="both"/>
        <w:rPr>
          <w:rFonts w:ascii="Times New Roman" w:hAnsi="Times New Roman" w:cs="Times New Roman"/>
          <w:sz w:val="24"/>
          <w:szCs w:val="24"/>
        </w:rPr>
      </w:pPr>
      <w:r w:rsidRPr="00C751B4">
        <w:rPr>
          <w:rFonts w:ascii="Times New Roman" w:hAnsi="Times New Roman" w:cs="Times New Roman"/>
          <w:sz w:val="24"/>
          <w:szCs w:val="24"/>
        </w:rPr>
        <w:t>The analytical conclusions of this note are robust to moderate variations in demand forecasts and cost assumptions. The central recommendation</w:t>
      </w:r>
      <w:r w:rsidR="00736FB2">
        <w:rPr>
          <w:rFonts w:ascii="Times New Roman" w:hAnsi="Times New Roman" w:cs="Times New Roman"/>
          <w:sz w:val="24"/>
          <w:szCs w:val="24"/>
        </w:rPr>
        <w:t xml:space="preserve"> </w:t>
      </w:r>
      <w:r w:rsidR="00E84B31" w:rsidRPr="00C751B4">
        <w:rPr>
          <w:rFonts w:ascii="Times New Roman" w:hAnsi="Times New Roman" w:cs="Times New Roman"/>
          <w:sz w:val="24"/>
          <w:szCs w:val="24"/>
        </w:rPr>
        <w:t>priorities</w:t>
      </w:r>
      <w:r w:rsidRPr="00C751B4">
        <w:rPr>
          <w:rFonts w:ascii="Times New Roman" w:hAnsi="Times New Roman" w:cs="Times New Roman"/>
          <w:sz w:val="24"/>
          <w:szCs w:val="24"/>
        </w:rPr>
        <w:t xml:space="preserve"> bankable LNG-to-power and LPG midstream while maintaining selective upstream optionality</w:t>
      </w:r>
      <w:r w:rsidR="00736FB2">
        <w:rPr>
          <w:rFonts w:ascii="Times New Roman" w:hAnsi="Times New Roman" w:cs="Times New Roman"/>
          <w:sz w:val="24"/>
          <w:szCs w:val="24"/>
        </w:rPr>
        <w:t xml:space="preserve"> </w:t>
      </w:r>
      <w:r w:rsidRPr="00C751B4">
        <w:rPr>
          <w:rFonts w:ascii="Times New Roman" w:hAnsi="Times New Roman" w:cs="Times New Roman"/>
          <w:sz w:val="24"/>
          <w:szCs w:val="24"/>
        </w:rPr>
        <w:t>holds across a wide range of plausible scenarios. What varies with scenario is the optimal scale and phasing of capacity, not the strategic direction.</w:t>
      </w:r>
    </w:p>
    <w:sectPr w:rsidR="009110B9" w:rsidRPr="00C751B4" w:rsidSect="00C751B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8897A" w14:textId="77777777" w:rsidR="001D4D4D" w:rsidRDefault="001D4D4D">
      <w:r>
        <w:separator/>
      </w:r>
    </w:p>
  </w:endnote>
  <w:endnote w:type="continuationSeparator" w:id="0">
    <w:p w14:paraId="40F1C3A3" w14:textId="77777777" w:rsidR="001D4D4D" w:rsidRDefault="001D4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FE90E" w14:textId="77777777" w:rsidR="001D4D4D" w:rsidRDefault="001D4D4D">
      <w:r>
        <w:separator/>
      </w:r>
    </w:p>
  </w:footnote>
  <w:footnote w:type="continuationSeparator" w:id="0">
    <w:p w14:paraId="053FA912" w14:textId="77777777" w:rsidR="001D4D4D" w:rsidRDefault="001D4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0E15"/>
    <w:multiLevelType w:val="hybridMultilevel"/>
    <w:tmpl w:val="124AF5EE"/>
    <w:lvl w:ilvl="0" w:tplc="3C5265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0141B"/>
    <w:multiLevelType w:val="hybridMultilevel"/>
    <w:tmpl w:val="2C1A686C"/>
    <w:lvl w:ilvl="0" w:tplc="6DA4BBE0">
      <w:start w:val="1"/>
      <w:numFmt w:val="decimal"/>
      <w:lvlText w:val="%1."/>
      <w:lvlJc w:val="left"/>
      <w:pPr>
        <w:ind w:left="720" w:hanging="360"/>
      </w:pPr>
    </w:lvl>
    <w:lvl w:ilvl="1" w:tplc="0818D0C4">
      <w:numFmt w:val="decimal"/>
      <w:lvlText w:val=""/>
      <w:lvlJc w:val="left"/>
    </w:lvl>
    <w:lvl w:ilvl="2" w:tplc="93163E76">
      <w:numFmt w:val="decimal"/>
      <w:lvlText w:val=""/>
      <w:lvlJc w:val="left"/>
    </w:lvl>
    <w:lvl w:ilvl="3" w:tplc="9B64E6E6">
      <w:numFmt w:val="decimal"/>
      <w:lvlText w:val=""/>
      <w:lvlJc w:val="left"/>
    </w:lvl>
    <w:lvl w:ilvl="4" w:tplc="875098F8">
      <w:numFmt w:val="decimal"/>
      <w:lvlText w:val=""/>
      <w:lvlJc w:val="left"/>
    </w:lvl>
    <w:lvl w:ilvl="5" w:tplc="F0F4600A">
      <w:numFmt w:val="decimal"/>
      <w:lvlText w:val=""/>
      <w:lvlJc w:val="left"/>
    </w:lvl>
    <w:lvl w:ilvl="6" w:tplc="D5E40B32">
      <w:numFmt w:val="decimal"/>
      <w:lvlText w:val=""/>
      <w:lvlJc w:val="left"/>
    </w:lvl>
    <w:lvl w:ilvl="7" w:tplc="CD6E9F4C">
      <w:numFmt w:val="decimal"/>
      <w:lvlText w:val=""/>
      <w:lvlJc w:val="left"/>
    </w:lvl>
    <w:lvl w:ilvl="8" w:tplc="8DCAEFF8">
      <w:numFmt w:val="decimal"/>
      <w:lvlText w:val=""/>
      <w:lvlJc w:val="left"/>
    </w:lvl>
  </w:abstractNum>
  <w:abstractNum w:abstractNumId="2" w15:restartNumberingAfterBreak="0">
    <w:nsid w:val="17D7500A"/>
    <w:multiLevelType w:val="hybridMultilevel"/>
    <w:tmpl w:val="CCF2009C"/>
    <w:lvl w:ilvl="0" w:tplc="BD90ADBA">
      <w:start w:val="1"/>
      <w:numFmt w:val="bullet"/>
      <w:lvlText w:val="•"/>
      <w:lvlJc w:val="left"/>
      <w:pPr>
        <w:ind w:left="720" w:hanging="360"/>
      </w:pPr>
    </w:lvl>
    <w:lvl w:ilvl="1" w:tplc="30989BE2">
      <w:numFmt w:val="decimal"/>
      <w:lvlText w:val=""/>
      <w:lvlJc w:val="left"/>
    </w:lvl>
    <w:lvl w:ilvl="2" w:tplc="D5A6CC44">
      <w:numFmt w:val="decimal"/>
      <w:lvlText w:val=""/>
      <w:lvlJc w:val="left"/>
    </w:lvl>
    <w:lvl w:ilvl="3" w:tplc="E0A8357E">
      <w:numFmt w:val="decimal"/>
      <w:lvlText w:val=""/>
      <w:lvlJc w:val="left"/>
    </w:lvl>
    <w:lvl w:ilvl="4" w:tplc="9E92BA8C">
      <w:numFmt w:val="decimal"/>
      <w:lvlText w:val=""/>
      <w:lvlJc w:val="left"/>
    </w:lvl>
    <w:lvl w:ilvl="5" w:tplc="3FCAB35E">
      <w:numFmt w:val="decimal"/>
      <w:lvlText w:val=""/>
      <w:lvlJc w:val="left"/>
    </w:lvl>
    <w:lvl w:ilvl="6" w:tplc="C6542A9E">
      <w:numFmt w:val="decimal"/>
      <w:lvlText w:val=""/>
      <w:lvlJc w:val="left"/>
    </w:lvl>
    <w:lvl w:ilvl="7" w:tplc="59D81E9E">
      <w:numFmt w:val="decimal"/>
      <w:lvlText w:val=""/>
      <w:lvlJc w:val="left"/>
    </w:lvl>
    <w:lvl w:ilvl="8" w:tplc="EFECBC64">
      <w:numFmt w:val="decimal"/>
      <w:lvlText w:val=""/>
      <w:lvlJc w:val="left"/>
    </w:lvl>
  </w:abstractNum>
  <w:abstractNum w:abstractNumId="3" w15:restartNumberingAfterBreak="0">
    <w:nsid w:val="21491F35"/>
    <w:multiLevelType w:val="hybridMultilevel"/>
    <w:tmpl w:val="A9C0DD36"/>
    <w:lvl w:ilvl="0" w:tplc="155E27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5207B"/>
    <w:multiLevelType w:val="hybridMultilevel"/>
    <w:tmpl w:val="69569974"/>
    <w:lvl w:ilvl="0" w:tplc="5D5E730E">
      <w:start w:val="1"/>
      <w:numFmt w:val="bullet"/>
      <w:lvlText w:val="•"/>
      <w:lvlJc w:val="left"/>
      <w:pPr>
        <w:ind w:left="720" w:hanging="360"/>
      </w:pPr>
    </w:lvl>
    <w:lvl w:ilvl="1" w:tplc="75CE041C">
      <w:numFmt w:val="decimal"/>
      <w:lvlText w:val=""/>
      <w:lvlJc w:val="left"/>
    </w:lvl>
    <w:lvl w:ilvl="2" w:tplc="F37EED24">
      <w:numFmt w:val="decimal"/>
      <w:lvlText w:val=""/>
      <w:lvlJc w:val="left"/>
    </w:lvl>
    <w:lvl w:ilvl="3" w:tplc="0AD293D0">
      <w:numFmt w:val="decimal"/>
      <w:lvlText w:val=""/>
      <w:lvlJc w:val="left"/>
    </w:lvl>
    <w:lvl w:ilvl="4" w:tplc="4036CDB2">
      <w:numFmt w:val="decimal"/>
      <w:lvlText w:val=""/>
      <w:lvlJc w:val="left"/>
    </w:lvl>
    <w:lvl w:ilvl="5" w:tplc="9E6046FE">
      <w:numFmt w:val="decimal"/>
      <w:lvlText w:val=""/>
      <w:lvlJc w:val="left"/>
    </w:lvl>
    <w:lvl w:ilvl="6" w:tplc="F056D298">
      <w:numFmt w:val="decimal"/>
      <w:lvlText w:val=""/>
      <w:lvlJc w:val="left"/>
    </w:lvl>
    <w:lvl w:ilvl="7" w:tplc="8B4EC902">
      <w:numFmt w:val="decimal"/>
      <w:lvlText w:val=""/>
      <w:lvlJc w:val="left"/>
    </w:lvl>
    <w:lvl w:ilvl="8" w:tplc="0EFAE0A0">
      <w:numFmt w:val="decimal"/>
      <w:lvlText w:val=""/>
      <w:lvlJc w:val="left"/>
    </w:lvl>
  </w:abstractNum>
  <w:abstractNum w:abstractNumId="5" w15:restartNumberingAfterBreak="0">
    <w:nsid w:val="2EA52B46"/>
    <w:multiLevelType w:val="hybridMultilevel"/>
    <w:tmpl w:val="98E4D5DC"/>
    <w:lvl w:ilvl="0" w:tplc="EB1AC790">
      <w:start w:val="1"/>
      <w:numFmt w:val="bullet"/>
      <w:lvlText w:val="•"/>
      <w:lvlJc w:val="left"/>
      <w:pPr>
        <w:ind w:left="720" w:hanging="360"/>
      </w:pPr>
    </w:lvl>
    <w:lvl w:ilvl="1" w:tplc="82BCFF84">
      <w:numFmt w:val="decimal"/>
      <w:lvlText w:val=""/>
      <w:lvlJc w:val="left"/>
    </w:lvl>
    <w:lvl w:ilvl="2" w:tplc="F01E4568">
      <w:numFmt w:val="decimal"/>
      <w:lvlText w:val=""/>
      <w:lvlJc w:val="left"/>
    </w:lvl>
    <w:lvl w:ilvl="3" w:tplc="0C96338C">
      <w:numFmt w:val="decimal"/>
      <w:lvlText w:val=""/>
      <w:lvlJc w:val="left"/>
    </w:lvl>
    <w:lvl w:ilvl="4" w:tplc="0936D3B8">
      <w:numFmt w:val="decimal"/>
      <w:lvlText w:val=""/>
      <w:lvlJc w:val="left"/>
    </w:lvl>
    <w:lvl w:ilvl="5" w:tplc="F9F86342">
      <w:numFmt w:val="decimal"/>
      <w:lvlText w:val=""/>
      <w:lvlJc w:val="left"/>
    </w:lvl>
    <w:lvl w:ilvl="6" w:tplc="5E6491F2">
      <w:numFmt w:val="decimal"/>
      <w:lvlText w:val=""/>
      <w:lvlJc w:val="left"/>
    </w:lvl>
    <w:lvl w:ilvl="7" w:tplc="901019BA">
      <w:numFmt w:val="decimal"/>
      <w:lvlText w:val=""/>
      <w:lvlJc w:val="left"/>
    </w:lvl>
    <w:lvl w:ilvl="8" w:tplc="7EFE7448">
      <w:numFmt w:val="decimal"/>
      <w:lvlText w:val=""/>
      <w:lvlJc w:val="left"/>
    </w:lvl>
  </w:abstractNum>
  <w:abstractNum w:abstractNumId="6" w15:restartNumberingAfterBreak="0">
    <w:nsid w:val="33CB23FC"/>
    <w:multiLevelType w:val="hybridMultilevel"/>
    <w:tmpl w:val="62F01694"/>
    <w:lvl w:ilvl="0" w:tplc="B0AC316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A63BC6"/>
    <w:multiLevelType w:val="hybridMultilevel"/>
    <w:tmpl w:val="A7A0483E"/>
    <w:lvl w:ilvl="0" w:tplc="FDB6E492">
      <w:start w:val="1"/>
      <w:numFmt w:val="bullet"/>
      <w:lvlText w:val="•"/>
      <w:lvlJc w:val="left"/>
      <w:pPr>
        <w:ind w:left="720" w:hanging="360"/>
      </w:pPr>
    </w:lvl>
    <w:lvl w:ilvl="1" w:tplc="3C4EDF84">
      <w:numFmt w:val="decimal"/>
      <w:lvlText w:val=""/>
      <w:lvlJc w:val="left"/>
    </w:lvl>
    <w:lvl w:ilvl="2" w:tplc="4C84F3FC">
      <w:numFmt w:val="decimal"/>
      <w:lvlText w:val=""/>
      <w:lvlJc w:val="left"/>
    </w:lvl>
    <w:lvl w:ilvl="3" w:tplc="93325A76">
      <w:numFmt w:val="decimal"/>
      <w:lvlText w:val=""/>
      <w:lvlJc w:val="left"/>
    </w:lvl>
    <w:lvl w:ilvl="4" w:tplc="DFDEC28C">
      <w:numFmt w:val="decimal"/>
      <w:lvlText w:val=""/>
      <w:lvlJc w:val="left"/>
    </w:lvl>
    <w:lvl w:ilvl="5" w:tplc="F224DD2C">
      <w:numFmt w:val="decimal"/>
      <w:lvlText w:val=""/>
      <w:lvlJc w:val="left"/>
    </w:lvl>
    <w:lvl w:ilvl="6" w:tplc="A43E5BC0">
      <w:numFmt w:val="decimal"/>
      <w:lvlText w:val=""/>
      <w:lvlJc w:val="left"/>
    </w:lvl>
    <w:lvl w:ilvl="7" w:tplc="6930DB80">
      <w:numFmt w:val="decimal"/>
      <w:lvlText w:val=""/>
      <w:lvlJc w:val="left"/>
    </w:lvl>
    <w:lvl w:ilvl="8" w:tplc="458A391E">
      <w:numFmt w:val="decimal"/>
      <w:lvlText w:val=""/>
      <w:lvlJc w:val="left"/>
    </w:lvl>
  </w:abstractNum>
  <w:abstractNum w:abstractNumId="8" w15:restartNumberingAfterBreak="0">
    <w:nsid w:val="532B64EC"/>
    <w:multiLevelType w:val="hybridMultilevel"/>
    <w:tmpl w:val="DA9056B2"/>
    <w:lvl w:ilvl="0" w:tplc="492EFDF6">
      <w:start w:val="1"/>
      <w:numFmt w:val="decimal"/>
      <w:lvlText w:val="%1."/>
      <w:lvlJc w:val="left"/>
      <w:pPr>
        <w:ind w:left="720" w:hanging="360"/>
      </w:pPr>
    </w:lvl>
    <w:lvl w:ilvl="1" w:tplc="8FD8D0AC">
      <w:numFmt w:val="decimal"/>
      <w:lvlText w:val=""/>
      <w:lvlJc w:val="left"/>
    </w:lvl>
    <w:lvl w:ilvl="2" w:tplc="02F6D234">
      <w:numFmt w:val="decimal"/>
      <w:lvlText w:val=""/>
      <w:lvlJc w:val="left"/>
    </w:lvl>
    <w:lvl w:ilvl="3" w:tplc="9F667C86">
      <w:numFmt w:val="decimal"/>
      <w:lvlText w:val=""/>
      <w:lvlJc w:val="left"/>
    </w:lvl>
    <w:lvl w:ilvl="4" w:tplc="BBC03BD2">
      <w:numFmt w:val="decimal"/>
      <w:lvlText w:val=""/>
      <w:lvlJc w:val="left"/>
    </w:lvl>
    <w:lvl w:ilvl="5" w:tplc="59125E9E">
      <w:numFmt w:val="decimal"/>
      <w:lvlText w:val=""/>
      <w:lvlJc w:val="left"/>
    </w:lvl>
    <w:lvl w:ilvl="6" w:tplc="2F4E1CD0">
      <w:numFmt w:val="decimal"/>
      <w:lvlText w:val=""/>
      <w:lvlJc w:val="left"/>
    </w:lvl>
    <w:lvl w:ilvl="7" w:tplc="D8829C32">
      <w:numFmt w:val="decimal"/>
      <w:lvlText w:val=""/>
      <w:lvlJc w:val="left"/>
    </w:lvl>
    <w:lvl w:ilvl="8" w:tplc="AC7EF10A">
      <w:numFmt w:val="decimal"/>
      <w:lvlText w:val=""/>
      <w:lvlJc w:val="left"/>
    </w:lvl>
  </w:abstractNum>
  <w:abstractNum w:abstractNumId="9" w15:restartNumberingAfterBreak="0">
    <w:nsid w:val="59804A41"/>
    <w:multiLevelType w:val="hybridMultilevel"/>
    <w:tmpl w:val="38BE3C2A"/>
    <w:lvl w:ilvl="0" w:tplc="6ADCECC6">
      <w:start w:val="1"/>
      <w:numFmt w:val="bullet"/>
      <w:lvlText w:val="●"/>
      <w:lvlJc w:val="left"/>
      <w:pPr>
        <w:ind w:left="720" w:hanging="360"/>
      </w:pPr>
    </w:lvl>
    <w:lvl w:ilvl="1" w:tplc="1BAE575A">
      <w:start w:val="1"/>
      <w:numFmt w:val="bullet"/>
      <w:lvlText w:val="○"/>
      <w:lvlJc w:val="left"/>
      <w:pPr>
        <w:ind w:left="1440" w:hanging="360"/>
      </w:pPr>
    </w:lvl>
    <w:lvl w:ilvl="2" w:tplc="751AD020">
      <w:start w:val="1"/>
      <w:numFmt w:val="bullet"/>
      <w:lvlText w:val="■"/>
      <w:lvlJc w:val="left"/>
      <w:pPr>
        <w:ind w:left="2160" w:hanging="360"/>
      </w:pPr>
    </w:lvl>
    <w:lvl w:ilvl="3" w:tplc="0C185802">
      <w:start w:val="1"/>
      <w:numFmt w:val="bullet"/>
      <w:lvlText w:val="●"/>
      <w:lvlJc w:val="left"/>
      <w:pPr>
        <w:ind w:left="2880" w:hanging="360"/>
      </w:pPr>
    </w:lvl>
    <w:lvl w:ilvl="4" w:tplc="B10A3B3A">
      <w:start w:val="1"/>
      <w:numFmt w:val="bullet"/>
      <w:lvlText w:val="○"/>
      <w:lvlJc w:val="left"/>
      <w:pPr>
        <w:ind w:left="3600" w:hanging="360"/>
      </w:pPr>
    </w:lvl>
    <w:lvl w:ilvl="5" w:tplc="926EFC20">
      <w:start w:val="1"/>
      <w:numFmt w:val="bullet"/>
      <w:lvlText w:val="■"/>
      <w:lvlJc w:val="left"/>
      <w:pPr>
        <w:ind w:left="4320" w:hanging="360"/>
      </w:pPr>
    </w:lvl>
    <w:lvl w:ilvl="6" w:tplc="FC8E9FE6">
      <w:start w:val="1"/>
      <w:numFmt w:val="bullet"/>
      <w:lvlText w:val="●"/>
      <w:lvlJc w:val="left"/>
      <w:pPr>
        <w:ind w:left="5040" w:hanging="360"/>
      </w:pPr>
    </w:lvl>
    <w:lvl w:ilvl="7" w:tplc="B4EAED84">
      <w:start w:val="1"/>
      <w:numFmt w:val="bullet"/>
      <w:lvlText w:val="●"/>
      <w:lvlJc w:val="left"/>
      <w:pPr>
        <w:ind w:left="5760" w:hanging="360"/>
      </w:pPr>
    </w:lvl>
    <w:lvl w:ilvl="8" w:tplc="6B46FCA0">
      <w:start w:val="1"/>
      <w:numFmt w:val="bullet"/>
      <w:lvlText w:val="●"/>
      <w:lvlJc w:val="left"/>
      <w:pPr>
        <w:ind w:left="6480" w:hanging="360"/>
      </w:pPr>
    </w:lvl>
  </w:abstractNum>
  <w:abstractNum w:abstractNumId="10" w15:restartNumberingAfterBreak="0">
    <w:nsid w:val="676A1F65"/>
    <w:multiLevelType w:val="hybridMultilevel"/>
    <w:tmpl w:val="36E2D9A8"/>
    <w:lvl w:ilvl="0" w:tplc="9BA6D664">
      <w:start w:val="1"/>
      <w:numFmt w:val="bullet"/>
      <w:lvlText w:val="•"/>
      <w:lvlJc w:val="left"/>
      <w:pPr>
        <w:ind w:left="720" w:hanging="360"/>
      </w:pPr>
    </w:lvl>
    <w:lvl w:ilvl="1" w:tplc="311C73AE">
      <w:numFmt w:val="decimal"/>
      <w:lvlText w:val=""/>
      <w:lvlJc w:val="left"/>
    </w:lvl>
    <w:lvl w:ilvl="2" w:tplc="7586F8B0">
      <w:numFmt w:val="decimal"/>
      <w:lvlText w:val=""/>
      <w:lvlJc w:val="left"/>
    </w:lvl>
    <w:lvl w:ilvl="3" w:tplc="1DEAE90A">
      <w:numFmt w:val="decimal"/>
      <w:lvlText w:val=""/>
      <w:lvlJc w:val="left"/>
    </w:lvl>
    <w:lvl w:ilvl="4" w:tplc="DB2815F0">
      <w:numFmt w:val="decimal"/>
      <w:lvlText w:val=""/>
      <w:lvlJc w:val="left"/>
    </w:lvl>
    <w:lvl w:ilvl="5" w:tplc="F2CAF9A4">
      <w:numFmt w:val="decimal"/>
      <w:lvlText w:val=""/>
      <w:lvlJc w:val="left"/>
    </w:lvl>
    <w:lvl w:ilvl="6" w:tplc="AC5E14A4">
      <w:numFmt w:val="decimal"/>
      <w:lvlText w:val=""/>
      <w:lvlJc w:val="left"/>
    </w:lvl>
    <w:lvl w:ilvl="7" w:tplc="2DEE8E56">
      <w:numFmt w:val="decimal"/>
      <w:lvlText w:val=""/>
      <w:lvlJc w:val="left"/>
    </w:lvl>
    <w:lvl w:ilvl="8" w:tplc="1C7281BE">
      <w:numFmt w:val="decimal"/>
      <w:lvlText w:val=""/>
      <w:lvlJc w:val="left"/>
    </w:lvl>
  </w:abstractNum>
  <w:abstractNum w:abstractNumId="11" w15:restartNumberingAfterBreak="0">
    <w:nsid w:val="68641621"/>
    <w:multiLevelType w:val="hybridMultilevel"/>
    <w:tmpl w:val="318A034C"/>
    <w:lvl w:ilvl="0" w:tplc="E20EB7AA">
      <w:start w:val="1"/>
      <w:numFmt w:val="decimal"/>
      <w:lvlText w:val="%1."/>
      <w:lvlJc w:val="left"/>
      <w:pPr>
        <w:ind w:left="720" w:hanging="360"/>
      </w:pPr>
    </w:lvl>
    <w:lvl w:ilvl="1" w:tplc="7496FB0E">
      <w:numFmt w:val="decimal"/>
      <w:lvlText w:val=""/>
      <w:lvlJc w:val="left"/>
    </w:lvl>
    <w:lvl w:ilvl="2" w:tplc="F38AA010">
      <w:numFmt w:val="decimal"/>
      <w:lvlText w:val=""/>
      <w:lvlJc w:val="left"/>
    </w:lvl>
    <w:lvl w:ilvl="3" w:tplc="338A9C30">
      <w:numFmt w:val="decimal"/>
      <w:lvlText w:val=""/>
      <w:lvlJc w:val="left"/>
    </w:lvl>
    <w:lvl w:ilvl="4" w:tplc="528C2014">
      <w:numFmt w:val="decimal"/>
      <w:lvlText w:val=""/>
      <w:lvlJc w:val="left"/>
    </w:lvl>
    <w:lvl w:ilvl="5" w:tplc="DF009E28">
      <w:numFmt w:val="decimal"/>
      <w:lvlText w:val=""/>
      <w:lvlJc w:val="left"/>
    </w:lvl>
    <w:lvl w:ilvl="6" w:tplc="08E6A970">
      <w:numFmt w:val="decimal"/>
      <w:lvlText w:val=""/>
      <w:lvlJc w:val="left"/>
    </w:lvl>
    <w:lvl w:ilvl="7" w:tplc="D48CA694">
      <w:numFmt w:val="decimal"/>
      <w:lvlText w:val=""/>
      <w:lvlJc w:val="left"/>
    </w:lvl>
    <w:lvl w:ilvl="8" w:tplc="26362CA8">
      <w:numFmt w:val="decimal"/>
      <w:lvlText w:val=""/>
      <w:lvlJc w:val="left"/>
    </w:lvl>
  </w:abstractNum>
  <w:abstractNum w:abstractNumId="12" w15:restartNumberingAfterBreak="0">
    <w:nsid w:val="6EBB547A"/>
    <w:multiLevelType w:val="hybridMultilevel"/>
    <w:tmpl w:val="3718051A"/>
    <w:lvl w:ilvl="0" w:tplc="F8CE820E">
      <w:start w:val="1"/>
      <w:numFmt w:val="decimal"/>
      <w:lvlText w:val="%1."/>
      <w:lvlJc w:val="left"/>
      <w:pPr>
        <w:ind w:left="720" w:hanging="360"/>
      </w:pPr>
    </w:lvl>
    <w:lvl w:ilvl="1" w:tplc="F1A00AAE">
      <w:numFmt w:val="decimal"/>
      <w:lvlText w:val=""/>
      <w:lvlJc w:val="left"/>
    </w:lvl>
    <w:lvl w:ilvl="2" w:tplc="26026F8C">
      <w:numFmt w:val="decimal"/>
      <w:lvlText w:val=""/>
      <w:lvlJc w:val="left"/>
    </w:lvl>
    <w:lvl w:ilvl="3" w:tplc="D220B482">
      <w:numFmt w:val="decimal"/>
      <w:lvlText w:val=""/>
      <w:lvlJc w:val="left"/>
    </w:lvl>
    <w:lvl w:ilvl="4" w:tplc="5C1AC87C">
      <w:numFmt w:val="decimal"/>
      <w:lvlText w:val=""/>
      <w:lvlJc w:val="left"/>
    </w:lvl>
    <w:lvl w:ilvl="5" w:tplc="DB82AD0A">
      <w:numFmt w:val="decimal"/>
      <w:lvlText w:val=""/>
      <w:lvlJc w:val="left"/>
    </w:lvl>
    <w:lvl w:ilvl="6" w:tplc="E0F6B986">
      <w:numFmt w:val="decimal"/>
      <w:lvlText w:val=""/>
      <w:lvlJc w:val="left"/>
    </w:lvl>
    <w:lvl w:ilvl="7" w:tplc="EDF44068">
      <w:numFmt w:val="decimal"/>
      <w:lvlText w:val=""/>
      <w:lvlJc w:val="left"/>
    </w:lvl>
    <w:lvl w:ilvl="8" w:tplc="2E969DA6">
      <w:numFmt w:val="decimal"/>
      <w:lvlText w:val=""/>
      <w:lvlJc w:val="left"/>
    </w:lvl>
  </w:abstractNum>
  <w:abstractNum w:abstractNumId="13" w15:restartNumberingAfterBreak="0">
    <w:nsid w:val="793D5D15"/>
    <w:multiLevelType w:val="hybridMultilevel"/>
    <w:tmpl w:val="8B360C3E"/>
    <w:lvl w:ilvl="0" w:tplc="EB2C9416">
      <w:start w:val="1"/>
      <w:numFmt w:val="decimal"/>
      <w:lvlText w:val="%1."/>
      <w:lvlJc w:val="left"/>
      <w:pPr>
        <w:ind w:left="720" w:hanging="360"/>
      </w:pPr>
    </w:lvl>
    <w:lvl w:ilvl="1" w:tplc="7F0EA6AC">
      <w:numFmt w:val="decimal"/>
      <w:lvlText w:val=""/>
      <w:lvlJc w:val="left"/>
    </w:lvl>
    <w:lvl w:ilvl="2" w:tplc="A6AA4532">
      <w:numFmt w:val="decimal"/>
      <w:lvlText w:val=""/>
      <w:lvlJc w:val="left"/>
    </w:lvl>
    <w:lvl w:ilvl="3" w:tplc="1F94EB5E">
      <w:numFmt w:val="decimal"/>
      <w:lvlText w:val=""/>
      <w:lvlJc w:val="left"/>
    </w:lvl>
    <w:lvl w:ilvl="4" w:tplc="FD066E7C">
      <w:numFmt w:val="decimal"/>
      <w:lvlText w:val=""/>
      <w:lvlJc w:val="left"/>
    </w:lvl>
    <w:lvl w:ilvl="5" w:tplc="E7C62C42">
      <w:numFmt w:val="decimal"/>
      <w:lvlText w:val=""/>
      <w:lvlJc w:val="left"/>
    </w:lvl>
    <w:lvl w:ilvl="6" w:tplc="34C01106">
      <w:numFmt w:val="decimal"/>
      <w:lvlText w:val=""/>
      <w:lvlJc w:val="left"/>
    </w:lvl>
    <w:lvl w:ilvl="7" w:tplc="5C64BC9C">
      <w:numFmt w:val="decimal"/>
      <w:lvlText w:val=""/>
      <w:lvlJc w:val="left"/>
    </w:lvl>
    <w:lvl w:ilvl="8" w:tplc="27C40692">
      <w:numFmt w:val="decimal"/>
      <w:lvlText w:val=""/>
      <w:lvlJc w:val="left"/>
    </w:lvl>
  </w:abstractNum>
  <w:num w:numId="1" w16cid:durableId="309754691">
    <w:abstractNumId w:val="9"/>
    <w:lvlOverride w:ilvl="0">
      <w:startOverride w:val="1"/>
    </w:lvlOverride>
  </w:num>
  <w:num w:numId="2" w16cid:durableId="1196963947">
    <w:abstractNumId w:val="5"/>
    <w:lvlOverride w:ilvl="0">
      <w:startOverride w:val="1"/>
    </w:lvlOverride>
  </w:num>
  <w:num w:numId="3" w16cid:durableId="1832939540">
    <w:abstractNumId w:val="12"/>
    <w:lvlOverride w:ilvl="0">
      <w:startOverride w:val="1"/>
    </w:lvlOverride>
  </w:num>
  <w:num w:numId="4" w16cid:durableId="2031031141">
    <w:abstractNumId w:val="10"/>
    <w:lvlOverride w:ilvl="0">
      <w:startOverride w:val="1"/>
    </w:lvlOverride>
  </w:num>
  <w:num w:numId="5" w16cid:durableId="1577545104">
    <w:abstractNumId w:val="8"/>
    <w:lvlOverride w:ilvl="0">
      <w:startOverride w:val="1"/>
    </w:lvlOverride>
  </w:num>
  <w:num w:numId="6" w16cid:durableId="1641305637">
    <w:abstractNumId w:val="11"/>
    <w:lvlOverride w:ilvl="0">
      <w:startOverride w:val="1"/>
    </w:lvlOverride>
  </w:num>
  <w:num w:numId="7" w16cid:durableId="1311709989">
    <w:abstractNumId w:val="1"/>
    <w:lvlOverride w:ilvl="0">
      <w:startOverride w:val="1"/>
    </w:lvlOverride>
  </w:num>
  <w:num w:numId="8" w16cid:durableId="21711085">
    <w:abstractNumId w:val="13"/>
    <w:lvlOverride w:ilvl="0">
      <w:startOverride w:val="1"/>
    </w:lvlOverride>
  </w:num>
  <w:num w:numId="9" w16cid:durableId="1416971158">
    <w:abstractNumId w:val="3"/>
  </w:num>
  <w:num w:numId="10" w16cid:durableId="287244608">
    <w:abstractNumId w:val="0"/>
  </w:num>
  <w:num w:numId="11" w16cid:durableId="6888775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0B9"/>
    <w:rsid w:val="001B005C"/>
    <w:rsid w:val="001D4D4D"/>
    <w:rsid w:val="005D123D"/>
    <w:rsid w:val="00736FB2"/>
    <w:rsid w:val="009110B9"/>
    <w:rsid w:val="00C751B4"/>
    <w:rsid w:val="00E84B31"/>
    <w:rsid w:val="00FE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F5CC3"/>
  <w15:docId w15:val="{C4D1FE48-24B2-49C8-981D-988E467F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4E79"/>
      <w:sz w:val="28"/>
      <w:szCs w:val="28"/>
    </w:rPr>
  </w:style>
  <w:style w:type="paragraph" w:styleId="Heading2">
    <w:name w:val="heading 2"/>
    <w:uiPriority w:val="9"/>
    <w:unhideWhenUsed/>
    <w:qFormat/>
    <w:pPr>
      <w:spacing w:before="280" w:after="160"/>
      <w:outlineLvl w:val="1"/>
    </w:pPr>
    <w:rPr>
      <w:b/>
      <w:bCs/>
      <w:color w:val="2E75B6"/>
      <w:sz w:val="24"/>
      <w:szCs w:val="24"/>
    </w:rPr>
  </w:style>
  <w:style w:type="paragraph" w:styleId="Heading3">
    <w:name w:val="heading 3"/>
    <w:uiPriority w:val="9"/>
    <w:semiHidden/>
    <w:unhideWhenUsed/>
    <w:qFormat/>
    <w:pPr>
      <w:spacing w:before="240" w:after="120"/>
      <w:outlineLvl w:val="2"/>
    </w:pPr>
    <w:rPr>
      <w:b/>
      <w:bCs/>
      <w:color w:val="40404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751B4"/>
    <w:pPr>
      <w:tabs>
        <w:tab w:val="center" w:pos="4680"/>
        <w:tab w:val="right" w:pos="9360"/>
      </w:tabs>
    </w:pPr>
  </w:style>
  <w:style w:type="character" w:customStyle="1" w:styleId="HeaderChar">
    <w:name w:val="Header Char"/>
    <w:basedOn w:val="DefaultParagraphFont"/>
    <w:link w:val="Header"/>
    <w:uiPriority w:val="99"/>
    <w:rsid w:val="00C751B4"/>
  </w:style>
  <w:style w:type="paragraph" w:styleId="Footer">
    <w:name w:val="footer"/>
    <w:basedOn w:val="Normal"/>
    <w:link w:val="FooterChar"/>
    <w:uiPriority w:val="99"/>
    <w:unhideWhenUsed/>
    <w:rsid w:val="00C751B4"/>
    <w:pPr>
      <w:tabs>
        <w:tab w:val="center" w:pos="4680"/>
        <w:tab w:val="right" w:pos="9360"/>
      </w:tabs>
    </w:pPr>
  </w:style>
  <w:style w:type="character" w:customStyle="1" w:styleId="FooterChar">
    <w:name w:val="Footer Char"/>
    <w:basedOn w:val="DefaultParagraphFont"/>
    <w:link w:val="Footer"/>
    <w:uiPriority w:val="99"/>
    <w:rsid w:val="00C751B4"/>
  </w:style>
  <w:style w:type="table" w:styleId="TableGridLight">
    <w:name w:val="Grid Table Light"/>
    <w:basedOn w:val="TableNormal"/>
    <w:uiPriority w:val="40"/>
    <w:rsid w:val="00C751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75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3845</Words>
  <Characters>21920</Characters>
  <Application>Microsoft Office Word</Application>
  <DocSecurity>0</DocSecurity>
  <Lines>182</Lines>
  <Paragraphs>51</Paragraphs>
  <ScaleCrop>false</ScaleCrop>
  <Company/>
  <LinksUpToDate>false</LinksUpToDate>
  <CharactersWithSpaces>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2026-09-29T15:48:00Z</dcterms:created>
  <dcterms:modified xsi:type="dcterms:W3CDTF">2026-09-30T07:41:00Z</dcterms:modified>
</cp:coreProperties>
</file>