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392.72727272727275" w:lineRule="auto"/>
        <w:jc w:val="both"/>
        <w:rPr>
          <w:rFonts w:ascii="Century Gothic" w:cs="Century Gothic" w:eastAsia="Century Gothic" w:hAnsi="Century Gothic"/>
          <w:b w:val="1"/>
          <w:bCs w:val="1"/>
        </w:rPr>
      </w:pPr>
      <w:bookmarkStart w:colFirst="0" w:colLast="0" w:name="_6dzmtpij2uoi" w:id="0"/>
      <w:bookmarkEnd w:id="0"/>
      <w:r w:rsidDel="00000000" w:rsidR="00000000" w:rsidRPr="00000000">
        <w:rPr>
          <w:rFonts w:ascii="Century Gothic" w:cs="Century Gothic" w:eastAsia="Century Gothic" w:hAnsi="Century Gothic"/>
          <w:b w:val="1"/>
          <w:bCs w:val="1"/>
          <w:rtl w:val="0"/>
        </w:rPr>
        <w:t xml:space="preserve">Capitalizing on the DRC's Hydrocarbon Reform</w:t>
      </w:r>
    </w:p>
    <w:p w:rsidR="00000000" w:rsidDel="00000000" w:rsidP="00000000" w:rsidRDefault="00000000" w:rsidRPr="00000000" w14:paraId="00000002">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392.72727272727275" w:lineRule="auto"/>
        <w:jc w:val="both"/>
        <w:rPr>
          <w:rFonts w:ascii="Century Gothic" w:cs="Century Gothic" w:eastAsia="Century Gothic" w:hAnsi="Century Gothic"/>
          <w:b w:val="1"/>
          <w:bCs w:val="1"/>
          <w:sz w:val="24"/>
          <w:szCs w:val="24"/>
        </w:rPr>
      </w:pPr>
      <w:bookmarkStart w:colFirst="0" w:colLast="0" w:name="_9g505zc8lu00" w:id="1"/>
      <w:bookmarkEnd w:id="1"/>
      <w:r w:rsidDel="00000000" w:rsidR="00000000" w:rsidRPr="00000000">
        <w:rPr>
          <w:rFonts w:ascii="Century Gothic" w:cs="Century Gothic" w:eastAsia="Century Gothic" w:hAnsi="Century Gothic"/>
          <w:b w:val="1"/>
          <w:bCs w:val="1"/>
          <w:sz w:val="24"/>
          <w:szCs w:val="24"/>
          <w:rtl w:val="0"/>
        </w:rPr>
        <w:t xml:space="preserve">Executive Summary</w:t>
      </w:r>
    </w:p>
    <w:p w:rsidR="00000000" w:rsidDel="00000000" w:rsidP="00000000" w:rsidRDefault="00000000" w:rsidRPr="00000000" w14:paraId="00000003">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Democratic Republic of Congo (DRC) is experiencing a rare structural inflection point in its energy economy. On one track, the government is executing the most ambitious hydrocarbon sector reform since the 2015 Petroleum Code, driven by a recognition that the failed July 2022 licensing round, attributed to an unattractive fiscal regime, poor data quality, and the inclusion of environmentally sensitive blocks left the country without a single credible new entrant.</w:t>
      </w:r>
    </w:p>
    <w:p w:rsidR="00000000" w:rsidDel="00000000" w:rsidP="00000000" w:rsidRDefault="00000000" w:rsidRPr="00000000" w14:paraId="00000004">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5">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government's hydrocarbon reform agenda encompassing Decree 25/14 of April 2025, a pending Petroleum Code revision presented to the Council of Ministers in March 2026, reflects a strategic pivot toward energy diversification. The objective is to reduce the DRC's singular dependence on mining revenue while building a domestic hydrocarbon value chain that can, in the medium term, supply gas-to-power solutions for the very mining operations now starved of electricity. </w:t>
      </w:r>
    </w:p>
    <w:p w:rsidR="00000000" w:rsidDel="00000000" w:rsidP="00000000" w:rsidRDefault="00000000" w:rsidRPr="00000000" w14:paraId="00000006">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7">
      <w:pPr>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The Hydrocarbon Reform Landscape</w:t>
      </w:r>
    </w:p>
    <w:p w:rsidR="00000000" w:rsidDel="00000000" w:rsidP="00000000" w:rsidRDefault="00000000" w:rsidRPr="00000000" w14:paraId="00000008">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9">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DRC's hydrocarbon sector is undergoing its most significant transformation since the 2015 Hydrocarbons Law. </w:t>
      </w:r>
      <w:r w:rsidDel="00000000" w:rsidR="00000000" w:rsidRPr="00000000">
        <w:rPr>
          <w:rFonts w:ascii="Century Gothic" w:cs="Century Gothic" w:eastAsia="Century Gothic" w:hAnsi="Century Gothic"/>
          <w:rtl w:val="0"/>
        </w:rPr>
        <w:t xml:space="preserve">Three legislative and regulatory pillars define the new framework:</w:t>
      </w:r>
    </w:p>
    <w:p w:rsidR="00000000" w:rsidDel="00000000" w:rsidP="00000000" w:rsidRDefault="00000000" w:rsidRPr="00000000" w14:paraId="0000000A">
      <w:pPr>
        <w:jc w:val="both"/>
        <w:rPr>
          <w:rFonts w:ascii="Century Gothic" w:cs="Century Gothic" w:eastAsia="Century Gothic" w:hAnsi="Century Gothic"/>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Reform Element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Details</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Commercial Implications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Decree 25/14 (April 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Holistic regulation covering the full value chain; integrates ESG, local content, and environmental management plans; strengthens monitoring committees.</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Creates compliance demand for environmental consultancies, local workforce training, and accredited service providers.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Petroleum Code Revision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Proposed to Council of Ministers in March 2026. Aims to replace the "unattractive" 2015 tax regime, improve transparency in block allocation, and clarify concession contracts.</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Lower fiscal barriers for new entrants; clearer risk allocation for investors.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LPG bill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Separate legislation to organize LPG supply chain, supported by an IFC partnership. Target: 1.2 million households in Kinshasa by 2030 (from ~250,000 today).</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Major opportunity for LPG infrastructure, import terminals, distribution networks, and cylinder manufacturing.</w:t>
            </w:r>
          </w:p>
        </w:tc>
      </w:tr>
    </w:tbl>
    <w:p w:rsidR="00000000" w:rsidDel="00000000" w:rsidP="00000000" w:rsidRDefault="00000000" w:rsidRPr="00000000" w14:paraId="00000017">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8">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reform package reflects a strategic recalibration. Rather than attempting to attract supermajors with frontier exploration blocks and poor data, the government is:</w:t>
      </w:r>
    </w:p>
    <w:p w:rsidR="00000000" w:rsidDel="00000000" w:rsidP="00000000" w:rsidRDefault="00000000" w:rsidRPr="00000000" w14:paraId="00000019">
      <w:pPr>
        <w:numPr>
          <w:ilvl w:val="0"/>
          <w:numId w:val="4"/>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Detoxifying the block inventory by removing protected areas</w:t>
      </w:r>
    </w:p>
    <w:p w:rsidR="00000000" w:rsidDel="00000000" w:rsidP="00000000" w:rsidRDefault="00000000" w:rsidRPr="00000000" w14:paraId="0000001A">
      <w:pPr>
        <w:numPr>
          <w:ilvl w:val="0"/>
          <w:numId w:val="4"/>
        </w:numPr>
        <w:spacing w:after="0"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Improving the fiscal offer to compete with neighboring Uganda, Tanzania, and Mozambique</w:t>
      </w:r>
    </w:p>
    <w:p w:rsidR="00000000" w:rsidDel="00000000" w:rsidP="00000000" w:rsidRDefault="00000000" w:rsidRPr="00000000" w14:paraId="0000001B">
      <w:pPr>
        <w:numPr>
          <w:ilvl w:val="0"/>
          <w:numId w:val="4"/>
        </w:numPr>
        <w:spacing w:after="0"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Building downstream value chains (LPG) that generate immediate revenue and employment</w:t>
      </w:r>
    </w:p>
    <w:p w:rsidR="00000000" w:rsidDel="00000000" w:rsidP="00000000" w:rsidRDefault="00000000" w:rsidRPr="00000000" w14:paraId="0000001C">
      <w:pPr>
        <w:numPr>
          <w:ilvl w:val="0"/>
          <w:numId w:val="4"/>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Professionalizing local content to ensure Congolese participation without the corruption and fictitious companies that plagued previous regimes.</w:t>
      </w:r>
    </w:p>
    <w:p w:rsidR="00000000" w:rsidDel="00000000" w:rsidP="00000000" w:rsidRDefault="00000000" w:rsidRPr="00000000" w14:paraId="0000001D">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E">
      <w:pPr>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sz w:val="24"/>
          <w:szCs w:val="24"/>
          <w:rtl w:val="0"/>
        </w:rPr>
        <w:t xml:space="preserve">The New Licensing Framework &amp; Block Inventory</w:t>
      </w:r>
      <w:r w:rsidDel="00000000" w:rsidR="00000000" w:rsidRPr="00000000">
        <w:rPr>
          <w:rtl w:val="0"/>
        </w:rPr>
      </w:r>
    </w:p>
    <w:p w:rsidR="00000000" w:rsidDel="00000000" w:rsidP="00000000" w:rsidRDefault="00000000" w:rsidRPr="00000000" w14:paraId="0000001F">
      <w:pPr>
        <w:spacing w:before="20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Following the 2022 debacle, the Ministry of Hydrocarbons has detoxified 52 new blocks by removing all protected areas and is preparing a fresh licensing round. Three blocks in the Central Basin, Mbandaka, Lokoro, and Busira have already been awarded to Compagnie Minière Congolaise, a signal that the government is willing to allocate blocks to credible domestic players with mining balance sheets. Seismic reprocessing operations are planned, with advanced discussions underway with American companies specializing in seismic data acquisition and reprocessing.</w:t>
      </w:r>
    </w:p>
    <w:p w:rsidR="00000000" w:rsidDel="00000000" w:rsidP="00000000" w:rsidRDefault="00000000" w:rsidRPr="00000000" w14:paraId="00000020">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1">
      <w:pPr>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Basin-by-Basin Block Inventory</w:t>
      </w:r>
    </w:p>
    <w:p w:rsidR="00000000" w:rsidDel="00000000" w:rsidP="00000000" w:rsidRDefault="00000000" w:rsidRPr="00000000" w14:paraId="00000022">
      <w:pPr>
        <w:jc w:val="both"/>
        <w:rPr>
          <w:rFonts w:ascii="Century Gothic" w:cs="Century Gothic" w:eastAsia="Century Gothic" w:hAnsi="Century Gothic"/>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Basin</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Blocks available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Geology and prospectivity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Key consideration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Coastal Basin (Kongo-Central)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Limited new blocks; mostly Perenco-occupied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Proven production; Tertiary clastic reservoirs; average 8 million bbl/year current output.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Mature basin with infrastructure; best near-term production opportunity but limited upside.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Central Basin (Cuvette Centrale)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52 new blocks; Mbandaka, Lokoro, Busira awarded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Frontier exploration; Paleozoic–Mesozoic sediments; potential for light oil and associated gas.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Peatland sensitivities remain even in "detoxified" blocks; ESG scrutiny will be intense. Requires modern seismic.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Tanganyika Graben &amp; Lake Kivu</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Several blocks</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Rift-related plays; Lake Kivu methane gas (estimated 60 bcm dissolved methane).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Cross-border geology with Burundi/Rwanda/Tanzania; methane extraction is technically complex but proven.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Lake Albert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Blocks on DRC side of lake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Same petroleum system as Uganda's 6.5 billion barrel Albertine Graben discoveries.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High prospectivity but politically sensitive given Uganda's parallel development and regional tensions.</w:t>
            </w:r>
          </w:p>
        </w:tc>
      </w:tr>
    </w:tbl>
    <w:p w:rsidR="00000000" w:rsidDel="00000000" w:rsidP="00000000" w:rsidRDefault="00000000" w:rsidRPr="00000000" w14:paraId="00000038">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9">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Coastal Basin offers the lowest-risk, lowest-reward entry point for companies seeking near-term production cash flow. The Central Basin is the government's priority for a new licensing round but carries frontier exploration risk and ESG complexity. Lake Kivu methane represents a unique gas-to-power opportunity that could directly serve eastern DRC mining and industrial demand, though extraction technology is specialized.</w:t>
      </w:r>
    </w:p>
    <w:p w:rsidR="00000000" w:rsidDel="00000000" w:rsidP="00000000" w:rsidRDefault="00000000" w:rsidRPr="00000000" w14:paraId="0000003A">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B">
      <w:pPr>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Basin-by-Basin Geological Prospectivity</w:t>
      </w:r>
    </w:p>
    <w:p w:rsidR="00000000" w:rsidDel="00000000" w:rsidP="00000000" w:rsidRDefault="00000000" w:rsidRPr="00000000" w14:paraId="0000003C">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D">
      <w:pPr>
        <w:numPr>
          <w:ilvl w:val="0"/>
          <w:numId w:val="2"/>
        </w:numPr>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Coastal Basin (Kongo-Central)</w:t>
      </w:r>
    </w:p>
    <w:p w:rsidR="00000000" w:rsidDel="00000000" w:rsidP="00000000" w:rsidRDefault="00000000" w:rsidRPr="00000000" w14:paraId="0000003E">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Coastal Basin is the DRC's only producing petroleum province. Perenco operates the onshore and shallow-water fields, which have been in production since 2000. The basin produces approximately 8 million barrels per year, or roughly 22,000 barrels per day, sufficient to meet domestic refined product demand but leaving no surplus for export. For new entrants, the Coastal Basin offers:</w:t>
      </w:r>
    </w:p>
    <w:p w:rsidR="00000000" w:rsidDel="00000000" w:rsidP="00000000" w:rsidRDefault="00000000" w:rsidRPr="00000000" w14:paraId="0000003F">
      <w:pPr>
        <w:numPr>
          <w:ilvl w:val="0"/>
          <w:numId w:val="1"/>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Near-term production potential from undeveloped discoveries or enhanced recovery from existing fields</w:t>
      </w:r>
    </w:p>
    <w:p w:rsidR="00000000" w:rsidDel="00000000" w:rsidP="00000000" w:rsidRDefault="00000000" w:rsidRPr="00000000" w14:paraId="00000040">
      <w:pPr>
        <w:numPr>
          <w:ilvl w:val="0"/>
          <w:numId w:val="1"/>
        </w:numPr>
        <w:spacing w:after="0"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Existing infrastructure that reduces development capex;</w:t>
      </w:r>
    </w:p>
    <w:p w:rsidR="00000000" w:rsidDel="00000000" w:rsidP="00000000" w:rsidRDefault="00000000" w:rsidRPr="00000000" w14:paraId="00000041">
      <w:pPr>
        <w:numPr>
          <w:ilvl w:val="0"/>
          <w:numId w:val="1"/>
        </w:numPr>
        <w:spacing w:after="0"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Lower ESG risk compared to the Central Basin</w:t>
      </w:r>
    </w:p>
    <w:p w:rsidR="00000000" w:rsidDel="00000000" w:rsidP="00000000" w:rsidRDefault="00000000" w:rsidRPr="00000000" w14:paraId="00000042">
      <w:pPr>
        <w:numPr>
          <w:ilvl w:val="0"/>
          <w:numId w:val="1"/>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Limited upside due to basin maturity.</w:t>
      </w:r>
    </w:p>
    <w:p w:rsidR="00000000" w:rsidDel="00000000" w:rsidP="00000000" w:rsidRDefault="00000000" w:rsidRPr="00000000" w14:paraId="00000043">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4">
      <w:pPr>
        <w:numPr>
          <w:ilvl w:val="0"/>
          <w:numId w:val="5"/>
        </w:numPr>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Central Basin (Cuvette Centrale)</w:t>
      </w:r>
    </w:p>
    <w:p w:rsidR="00000000" w:rsidDel="00000000" w:rsidP="00000000" w:rsidRDefault="00000000" w:rsidRPr="00000000" w14:paraId="00000045">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Central Basin covers approximately 800,000 km² of the Congo River's interior catchment. It is a true frontier basin with no commercial discoveries to date, though seeps and early seismic suggest working petroleum systems in the Paleozoic–Mesozoic sedimentary sequences. The government's decision to detoxify 52 blocks by removing protected areas is a direct response to the NGO campaign that derailed the 2022 round. However, the Cuvette Centrale peatlands remain a globally significant carbon store, and any exploration activity will face intense scrutiny from international environmental groups. The EU's Just Energy Transition and deforestation-free supply chain regulations will place additional compliance burdens on operators.</w:t>
      </w:r>
    </w:p>
    <w:p w:rsidR="00000000" w:rsidDel="00000000" w:rsidP="00000000" w:rsidRDefault="00000000" w:rsidRPr="00000000" w14:paraId="00000046">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7">
      <w:pPr>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Lake Kivu &amp; the East</w:t>
      </w:r>
    </w:p>
    <w:p w:rsidR="00000000" w:rsidDel="00000000" w:rsidP="00000000" w:rsidRDefault="00000000" w:rsidRPr="00000000" w14:paraId="00000048">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Lake Kivu contains an estimated 60 billion cubic meters of dissolved methane, a unique geological phenomenon caused by volcanic activity and bacterial decomposition at depth. Methane extraction is technically proven, Rwanda's KivuWatt project has been operating since 2015 but the DRC side of the lake remains undeveloped. For mining power applications, Lake Kivu methane offers:</w:t>
      </w:r>
    </w:p>
    <w:p w:rsidR="00000000" w:rsidDel="00000000" w:rsidP="00000000" w:rsidRDefault="00000000" w:rsidRPr="00000000" w14:paraId="00000049">
      <w:pPr>
        <w:numPr>
          <w:ilvl w:val="0"/>
          <w:numId w:val="3"/>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Baseload gas supply without the intermittency of solar;</w:t>
      </w:r>
    </w:p>
    <w:p w:rsidR="00000000" w:rsidDel="00000000" w:rsidP="00000000" w:rsidRDefault="00000000" w:rsidRPr="00000000" w14:paraId="0000004A">
      <w:pPr>
        <w:numPr>
          <w:ilvl w:val="0"/>
          <w:numId w:val="3"/>
        </w:numPr>
        <w:spacing w:after="0"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Proximity to eastern DRC mining and industrial zones</w:t>
      </w:r>
    </w:p>
    <w:p w:rsidR="00000000" w:rsidDel="00000000" w:rsidP="00000000" w:rsidRDefault="00000000" w:rsidRPr="00000000" w14:paraId="0000004B">
      <w:pPr>
        <w:numPr>
          <w:ilvl w:val="0"/>
          <w:numId w:val="3"/>
        </w:numPr>
        <w:spacing w:after="0"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Cross-border complexity requiring coordination with Rwanda and Burundi</w:t>
      </w:r>
    </w:p>
    <w:p w:rsidR="00000000" w:rsidDel="00000000" w:rsidP="00000000" w:rsidRDefault="00000000" w:rsidRPr="00000000" w14:paraId="0000004C">
      <w:pPr>
        <w:numPr>
          <w:ilvl w:val="0"/>
          <w:numId w:val="3"/>
        </w:numPr>
        <w:spacing w:before="200" w:lineRule="auto"/>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Technical specialization in gas extraction and processing.</w:t>
      </w:r>
    </w:p>
    <w:p w:rsidR="00000000" w:rsidDel="00000000" w:rsidP="00000000" w:rsidRDefault="00000000" w:rsidRPr="00000000" w14:paraId="0000004D">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E">
      <w:pPr>
        <w:spacing w:after="240" w:before="240" w:lineRule="auto"/>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Key Risks</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4F">
            <w:pPr>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Risk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Investment implications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Mitigation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Regulatory uncertainty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Delays to the revised Petroleum Code could prolong uncertainty over fiscal terms and contract structures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Wait for clear fiscal and contractual terms before major capital commitments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Frontier exploration risk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Central Basin remains largely unproven and could require significant seismic and drilling expenditure before commerciality is established.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Use phased exploration programmes and farm-in/farm-out structures to share risk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ESG and environmental scrutiny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Peatlands and sensitive ecosystems could constrain exploration and create reputational and permitting risks.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Deploy low-impact seismic and drilling technologies and conduct robust environmental assessments.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Poor subsurface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Limited historical seismic and well data increase geological uncertainty and exploration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Prioritise seismic reprocessing and new high-quality 2D/3D acquisition before drilling.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Infrastructure constraints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Limited pipelines, processing facilities, roads and power infrastructure could increase development costs.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Target areas close to existing infrastructure and pursue integrated infrastructure partnerships.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Political and regional risk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Lake Kivu and Lake Albert opportunities are exposed to cross-border political and security considerations.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Structure projects around government-to-government cooperation and experienced regional partners.</w:t>
            </w:r>
          </w:p>
        </w:tc>
      </w:tr>
    </w:tbl>
    <w:p w:rsidR="00000000" w:rsidDel="00000000" w:rsidP="00000000" w:rsidRDefault="00000000" w:rsidRPr="00000000" w14:paraId="00000064">
      <w:pPr>
        <w:spacing w:after="240" w:before="24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65">
      <w:pPr>
        <w:spacing w:after="240" w:before="240" w:lineRule="auto"/>
        <w:jc w:val="both"/>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Outlook</w:t>
      </w:r>
    </w:p>
    <w:p w:rsidR="00000000" w:rsidDel="00000000" w:rsidP="00000000" w:rsidRDefault="00000000" w:rsidRPr="00000000" w14:paraId="00000066">
      <w:pPr>
        <w:spacing w:after="240" w:befor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DRC's hydrocarbon sector is likely to remain a </w:t>
      </w:r>
      <w:r w:rsidDel="00000000" w:rsidR="00000000" w:rsidRPr="00000000">
        <w:rPr>
          <w:rFonts w:ascii="Century Gothic" w:cs="Century Gothic" w:eastAsia="Century Gothic" w:hAnsi="Century Gothic"/>
          <w:rtl w:val="0"/>
        </w:rPr>
        <w:t xml:space="preserve">medium- to long-term investment story, </w:t>
      </w:r>
      <w:r w:rsidDel="00000000" w:rsidR="00000000" w:rsidRPr="00000000">
        <w:rPr>
          <w:rFonts w:ascii="Century Gothic" w:cs="Century Gothic" w:eastAsia="Century Gothic" w:hAnsi="Century Gothic"/>
          <w:rtl w:val="0"/>
        </w:rPr>
        <w:t xml:space="preserve">with the next 24–36 months critical for determining whether the government's reform agenda translates into material capital inflows. The revised Petroleum Code, improved geological data and the next licensing round will be the key catalysts to watch.</w:t>
      </w:r>
    </w:p>
    <w:p w:rsidR="00000000" w:rsidDel="00000000" w:rsidP="00000000" w:rsidRDefault="00000000" w:rsidRPr="00000000" w14:paraId="00000067">
      <w:pPr>
        <w:spacing w:after="240" w:befor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the</w:t>
      </w:r>
      <w:r w:rsidDel="00000000" w:rsidR="00000000" w:rsidRPr="00000000">
        <w:rPr>
          <w:rFonts w:ascii="Century Gothic" w:cs="Century Gothic" w:eastAsia="Century Gothic" w:hAnsi="Century Gothic"/>
          <w:rtl w:val="0"/>
        </w:rPr>
        <w:t xml:space="preserve"> near term, i</w:t>
      </w:r>
      <w:r w:rsidDel="00000000" w:rsidR="00000000" w:rsidRPr="00000000">
        <w:rPr>
          <w:rFonts w:ascii="Century Gothic" w:cs="Century Gothic" w:eastAsia="Century Gothic" w:hAnsi="Century Gothic"/>
          <w:rtl w:val="0"/>
        </w:rPr>
        <w:t xml:space="preserve">nvestment is likely to concentrate on regulatory reform, seismic acquisition, data interpretation, LPG infrastructure and brownfield opportunities in the Coastal Basin. These activities offer investors relatively lower-risk entry points while the broader upstream framework develops.</w:t>
      </w:r>
    </w:p>
    <w:p w:rsidR="00000000" w:rsidDel="00000000" w:rsidP="00000000" w:rsidRDefault="00000000" w:rsidRPr="00000000" w14:paraId="00000068">
      <w:pPr>
        <w:spacing w:after="240" w:befor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Over the</w:t>
      </w:r>
      <w:r w:rsidDel="00000000" w:rsidR="00000000" w:rsidRPr="00000000">
        <w:rPr>
          <w:rFonts w:ascii="Century Gothic" w:cs="Century Gothic" w:eastAsia="Century Gothic" w:hAnsi="Century Gothic"/>
          <w:rtl w:val="0"/>
        </w:rPr>
        <w:t xml:space="preserve"> medium term, succ</w:t>
      </w:r>
      <w:r w:rsidDel="00000000" w:rsidR="00000000" w:rsidRPr="00000000">
        <w:rPr>
          <w:rFonts w:ascii="Century Gothic" w:cs="Century Gothic" w:eastAsia="Century Gothic" w:hAnsi="Century Gothic"/>
          <w:rtl w:val="0"/>
        </w:rPr>
        <w:t xml:space="preserve">essful seismic reprocessing and improved fiscal terms could unlock greater interest in the Central Basin's 52-block inventory. However, exploration drilling is likely to remain selective until investors have sufficient confidence in petroleum-system effectiveness and commercial volumes.</w:t>
      </w:r>
    </w:p>
    <w:p w:rsidR="00000000" w:rsidDel="00000000" w:rsidP="00000000" w:rsidRDefault="00000000" w:rsidRPr="00000000" w14:paraId="00000069">
      <w:pPr>
        <w:spacing w:after="240" w:before="24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w:t>
      </w:r>
      <w:r w:rsidDel="00000000" w:rsidR="00000000" w:rsidRPr="00000000">
        <w:rPr>
          <w:rFonts w:ascii="Century Gothic" w:cs="Century Gothic" w:eastAsia="Century Gothic" w:hAnsi="Century Gothic"/>
          <w:rtl w:val="0"/>
        </w:rPr>
        <w:t xml:space="preserve"> highest strategic upside could </w:t>
      </w:r>
      <w:r w:rsidDel="00000000" w:rsidR="00000000" w:rsidRPr="00000000">
        <w:rPr>
          <w:rFonts w:ascii="Century Gothic" w:cs="Century Gothic" w:eastAsia="Century Gothic" w:hAnsi="Century Gothic"/>
          <w:rtl w:val="0"/>
        </w:rPr>
        <w:t xml:space="preserve">come from integrating hydrocarbons with the DRC's mining economy. Gas-to-power projects, particularly around eastern industrial centres, could create a domestic monetisation pathway for gas while addressing the electricity constraints that limit mining-sector growth. Lake Kivu methane is particularly relevant to this thesis, although its development will require specialised technology and careful cross-border coordination.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