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Century Gothic" w:cs="Century Gothic" w:eastAsia="Century Gothic" w:hAnsi="Century Gothic"/>
          <w:b w:val="1"/>
          <w:bCs w:val="1"/>
          <w:sz w:val="46"/>
          <w:szCs w:val="46"/>
        </w:rPr>
      </w:pPr>
      <w:r w:rsidDel="00000000" w:rsidR="00000000" w:rsidRPr="00000000">
        <w:rPr>
          <w:rFonts w:ascii="Century Gothic" w:cs="Century Gothic" w:eastAsia="Century Gothic" w:hAnsi="Century Gothic"/>
          <w:b w:val="1"/>
          <w:bCs w:val="1"/>
          <w:sz w:val="46"/>
          <w:szCs w:val="46"/>
          <w:rtl w:val="0"/>
        </w:rPr>
        <w:t xml:space="preserve">Uganda Energy Country Briefing </w:t>
      </w:r>
    </w:p>
    <w:p w:rsidR="00000000" w:rsidDel="00000000" w:rsidP="00000000" w:rsidRDefault="00000000" w:rsidRPr="00000000" w14:paraId="00000002">
      <w:pPr>
        <w:pStyle w:val="Heading2"/>
        <w:keepNext w:val="0"/>
        <w:keepLines w:val="0"/>
        <w:spacing w:after="80" w:lineRule="auto"/>
        <w:jc w:val="both"/>
        <w:rPr>
          <w:rFonts w:ascii="Century Gothic" w:cs="Century Gothic" w:eastAsia="Century Gothic" w:hAnsi="Century Gothic"/>
          <w:b w:val="1"/>
          <w:bCs w:val="1"/>
          <w:sz w:val="26"/>
          <w:szCs w:val="26"/>
        </w:rPr>
      </w:pPr>
      <w:bookmarkStart w:colFirst="0" w:colLast="0" w:name="_cfr6sbt43neq" w:id="0"/>
      <w:bookmarkEnd w:id="0"/>
      <w:r w:rsidDel="00000000" w:rsidR="00000000" w:rsidRPr="00000000">
        <w:rPr>
          <w:rFonts w:ascii="Century Gothic" w:cs="Century Gothic" w:eastAsia="Century Gothic" w:hAnsi="Century Gothic"/>
          <w:b w:val="1"/>
          <w:bCs w:val="1"/>
          <w:sz w:val="26"/>
          <w:szCs w:val="26"/>
          <w:rtl w:val="0"/>
        </w:rPr>
        <w:t xml:space="preserve">Executive Summary</w:t>
      </w:r>
    </w:p>
    <w:p w:rsidR="00000000" w:rsidDel="00000000" w:rsidP="00000000" w:rsidRDefault="00000000" w:rsidRPr="00000000" w14:paraId="00000003">
      <w:pPr>
        <w:spacing w:line="42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Uganda stands at the threshold of a petroleum production era that promises to be transformative for its public finances, its infrastructure landscape, and its geopolitical position in East Africa. The country's oil resources, concentrated in the Albertine Graben along the western border, were formally confirmed in the mid-2000s following exploration by Heritage Oil and Tullow Oil. Today, the two principal upstream operators, </w:t>
      </w:r>
      <w:r w:rsidDel="00000000" w:rsidR="00000000" w:rsidRPr="00000000">
        <w:rPr>
          <w:rFonts w:ascii="Century Gothic" w:cs="Century Gothic" w:eastAsia="Century Gothic" w:hAnsi="Century Gothic"/>
          <w:rtl w:val="0"/>
        </w:rPr>
        <w:t xml:space="preserve">TotalEnergies</w:t>
      </w:r>
      <w:r w:rsidDel="00000000" w:rsidR="00000000" w:rsidRPr="00000000">
        <w:rPr>
          <w:rFonts w:ascii="Century Gothic" w:cs="Century Gothic" w:eastAsia="Century Gothic" w:hAnsi="Century Gothic"/>
          <w:rtl w:val="0"/>
        </w:rPr>
        <w:t xml:space="preserve"> (Tilenga project) and </w:t>
      </w:r>
      <w:r w:rsidDel="00000000" w:rsidR="00000000" w:rsidRPr="00000000">
        <w:rPr>
          <w:rFonts w:ascii="Century Gothic" w:cs="Century Gothic" w:eastAsia="Century Gothic" w:hAnsi="Century Gothic"/>
          <w:rtl w:val="0"/>
        </w:rPr>
        <w:t xml:space="preserve">CNOOC Uganda</w:t>
      </w:r>
      <w:r w:rsidDel="00000000" w:rsidR="00000000" w:rsidRPr="00000000">
        <w:rPr>
          <w:rFonts w:ascii="Century Gothic" w:cs="Century Gothic" w:eastAsia="Century Gothic" w:hAnsi="Century Gothic"/>
          <w:rtl w:val="0"/>
        </w:rPr>
        <w:t xml:space="preserve"> (Kingfisher project) are currently targeting first oil in 2027–2028, following a series of delays attributable to financing gaps, permitting timelines, and the protracted negotiations surrounding the East African Crude Oil Pipeline (EACOP).</w:t>
      </w:r>
    </w:p>
    <w:p w:rsidR="00000000" w:rsidDel="00000000" w:rsidP="00000000" w:rsidRDefault="00000000" w:rsidRPr="00000000" w14:paraId="00000004">
      <w:pPr>
        <w:spacing w:line="42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scale of the opportunity is significant. At plateau production of approximately 230,000 barrels per day, Uganda would rank among sub-Saharan Africa's top-ten crude producers. Government petroleum revenues could reach approximately US$1–2.5 billion annually under plateau production scenarios and favourable oil-price assumptions. However, the path from reserve certification to sustainable production revenue is laden with execution, financial, and geopolitical risks that demand careful analysis. This briefing provides a comprehensive, analytically rigorous assessment of Uganda's oil and gas sector for institutional and strategic investors.</w:t>
      </w:r>
    </w:p>
    <w:p w:rsidR="00000000" w:rsidDel="00000000" w:rsidP="00000000" w:rsidRDefault="00000000" w:rsidRPr="00000000" w14:paraId="00000005">
      <w:pPr>
        <w:spacing w:line="42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6">
      <w:pPr>
        <w:spacing w:line="420" w:lineRule="auto"/>
        <w:jc w:val="both"/>
        <w:rPr>
          <w:rFonts w:ascii="Century Gothic" w:cs="Century Gothic" w:eastAsia="Century Gothic" w:hAnsi="Century Gothic"/>
          <w:b w:val="1"/>
          <w:bCs w:val="1"/>
          <w:sz w:val="26"/>
          <w:szCs w:val="26"/>
        </w:rPr>
      </w:pPr>
      <w:r w:rsidDel="00000000" w:rsidR="00000000" w:rsidRPr="00000000">
        <w:rPr>
          <w:rtl w:val="0"/>
        </w:rPr>
      </w:r>
    </w:p>
    <w:p w:rsidR="00000000" w:rsidDel="00000000" w:rsidP="00000000" w:rsidRDefault="00000000" w:rsidRPr="00000000" w14:paraId="00000007">
      <w:pPr>
        <w:spacing w:line="420" w:lineRule="auto"/>
        <w:jc w:val="both"/>
        <w:rPr>
          <w:rFonts w:ascii="Century Gothic" w:cs="Century Gothic" w:eastAsia="Century Gothic" w:hAnsi="Century Gothic"/>
          <w:b w:val="1"/>
          <w:bCs w:val="1"/>
          <w:sz w:val="26"/>
          <w:szCs w:val="26"/>
        </w:rPr>
      </w:pPr>
      <w:r w:rsidDel="00000000" w:rsidR="00000000" w:rsidRPr="00000000">
        <w:rPr>
          <w:rtl w:val="0"/>
        </w:rPr>
      </w:r>
    </w:p>
    <w:p w:rsidR="00000000" w:rsidDel="00000000" w:rsidP="00000000" w:rsidRDefault="00000000" w:rsidRPr="00000000" w14:paraId="00000008">
      <w:pPr>
        <w:spacing w:line="420" w:lineRule="auto"/>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Geological setting (Albertine Graben)</w:t>
      </w:r>
    </w:p>
    <w:p w:rsidR="00000000" w:rsidDel="00000000" w:rsidP="00000000" w:rsidRDefault="00000000" w:rsidRPr="00000000" w14:paraId="00000009">
      <w:pPr>
        <w:spacing w:line="42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Albertine Graben is an arm of the western branch of the East African Rift System, stretching approximately 500 km along the Uganda–DRC border at an average elevation of 620 metres above sea level. The basin is characterised by </w:t>
      </w:r>
      <w:r w:rsidDel="00000000" w:rsidR="00000000" w:rsidRPr="00000000">
        <w:rPr>
          <w:rFonts w:ascii="Century Gothic" w:cs="Century Gothic" w:eastAsia="Century Gothic" w:hAnsi="Century Gothic"/>
          <w:rtl w:val="0"/>
        </w:rPr>
        <w:t xml:space="preserve">deep lacustrine sediments</w:t>
      </w:r>
      <w:r w:rsidDel="00000000" w:rsidR="00000000" w:rsidRPr="00000000">
        <w:rPr>
          <w:rFonts w:ascii="Century Gothic" w:cs="Century Gothic" w:eastAsia="Century Gothic" w:hAnsi="Century Gothic"/>
          <w:rtl w:val="0"/>
        </w:rPr>
        <w:t xml:space="preserve"> up to 7 km thick, deposited across a series of half-grabens that form the primary trapping structures for hydrocarbons. Crude oil in the Graben is predominantly waxy, low-sulphur, medium-gravity crude (API gravity ranging from 17° to 31°), with relatively high wax content (up to 22%) and pour points above ambient temperature characteristics that necessitate the heated pipeline design adopted for EACOP. Exploration to date has identified more than 40 fields across the basin. Of these, six are classified as development-ready: Tilenga (including the Jobi-Rii, Gunya-Waraga, Ngiri, Nsoga, and Jobi-East sub-areas), Kingfisher, and four smaller satellite fields. The gross in-place resource estimate of approximately 6.5 billion barrels is considered conservative by some independent assessors; the Uganda National Oil Company (UNOC) has cited estimates as high as 7.3 billion barrels from its own geological assessment programme, although the commonly cited official estimate remains approximately 6.5 billion barrels in place.</w:t>
      </w:r>
    </w:p>
    <w:p w:rsidR="00000000" w:rsidDel="00000000" w:rsidP="00000000" w:rsidRDefault="00000000" w:rsidRPr="00000000" w14:paraId="0000000A">
      <w:pPr>
        <w:spacing w:line="42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Pr>
        <w:drawing>
          <wp:inline distB="114300" distT="114300" distL="114300" distR="114300">
            <wp:extent cx="5943600" cy="178740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1787403"/>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spacing w:line="42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Figure 1 Albertine Graben Petroleum Resource Classification (Billion Barrels) </w:t>
      </w:r>
    </w:p>
    <w:p w:rsidR="00000000" w:rsidDel="00000000" w:rsidP="00000000" w:rsidRDefault="00000000" w:rsidRPr="00000000" w14:paraId="0000000C">
      <w:pPr>
        <w:spacing w:line="420" w:lineRule="auto"/>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Key Petroleum Assets </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0c343d"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Assets </w:t>
            </w:r>
          </w:p>
        </w:tc>
        <w:tc>
          <w:tcPr>
            <w:shd w:fill="0c343d"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Operators </w:t>
            </w:r>
          </w:p>
        </w:tc>
        <w:tc>
          <w:tcPr>
            <w:shd w:fill="0c343d"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Status </w:t>
            </w:r>
          </w:p>
        </w:tc>
        <w:tc>
          <w:tcPr>
            <w:shd w:fill="0c343d"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Significance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Tilenga Project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TotalEnergies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Development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Major onshore oil production hub </w:t>
            </w:r>
          </w:p>
        </w:tc>
      </w:tr>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Kingfisher Project </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CNOOC </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Development </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High-quality crude production block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Exploration Blocks (EA1, EA2, EA3)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JV partners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Appraisal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Core Albertine Graben discoveries </w:t>
            </w:r>
          </w:p>
        </w:tc>
      </w:tr>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Uganda Refinery (proposed) </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UNOC + partners </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Planning </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Domestic fuel security &amp; value addition </w:t>
            </w:r>
          </w:p>
        </w:tc>
      </w:tr>
    </w:tbl>
    <w:p w:rsidR="00000000" w:rsidDel="00000000" w:rsidP="00000000" w:rsidRDefault="00000000" w:rsidRPr="00000000" w14:paraId="00000021">
      <w:pPr>
        <w:spacing w:line="42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2">
      <w:pPr>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b w:val="1"/>
          <w:bCs w:val="1"/>
          <w:sz w:val="26"/>
          <w:szCs w:val="26"/>
          <w:rtl w:val="0"/>
        </w:rPr>
        <w:t xml:space="preserve">Upstream projects </w:t>
      </w:r>
    </w:p>
    <w:p w:rsidR="00000000" w:rsidDel="00000000" w:rsidP="00000000" w:rsidRDefault="00000000" w:rsidRPr="00000000" w14:paraId="00000023">
      <w:pPr>
        <w:numPr>
          <w:ilvl w:val="0"/>
          <w:numId w:val="2"/>
        </w:numPr>
        <w:spacing w:line="420" w:lineRule="auto"/>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Tilenga</w:t>
      </w:r>
      <w:r w:rsidDel="00000000" w:rsidR="00000000" w:rsidRPr="00000000">
        <w:rPr>
          <w:rFonts w:ascii="Century Gothic" w:cs="Century Gothic" w:eastAsia="Century Gothic" w:hAnsi="Century Gothic"/>
          <w:b w:val="1"/>
          <w:bCs w:val="1"/>
          <w:rtl w:val="0"/>
        </w:rPr>
        <w:t xml:space="preserve"> (operated by TotalEnergies, 56.67% WI)</w:t>
      </w:r>
    </w:p>
    <w:p w:rsidR="00000000" w:rsidDel="00000000" w:rsidP="00000000" w:rsidRDefault="00000000" w:rsidRPr="00000000" w14:paraId="00000024">
      <w:pPr>
        <w:spacing w:line="42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Tilenga  is the larger of the two development projects and encompasses six field areas across Blocks 1, 1A, 2, and 3A in the northern Albertine Graben. The project involves drilling approximately 426 production and injection wells from 31 well pads, processing hydrocarbons through a central processing facility (CPF) rated at 190,000 bbl/d, and connecting to the EACOP trunk pipeline at Kabaale, Hoima District. Front-End Engineering and Design (FEED) was completed in 2021. Environmental and Social Impact Assessments (ESIA) were approved by the Petroleum Authority of Uganda (PAU), though the project remains subject to ongoing litigation from civil society organisations before Ugandan courts.</w:t>
      </w:r>
    </w:p>
    <w:p w:rsidR="00000000" w:rsidDel="00000000" w:rsidP="00000000" w:rsidRDefault="00000000" w:rsidRPr="00000000" w14:paraId="00000025">
      <w:pPr>
        <w:spacing w:line="420" w:lineRule="auto"/>
        <w:ind w:left="0" w:firstLine="0"/>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6">
      <w:pPr>
        <w:spacing w:line="420" w:lineRule="auto"/>
        <w:ind w:left="0" w:firstLine="0"/>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7">
      <w:pPr>
        <w:numPr>
          <w:ilvl w:val="0"/>
          <w:numId w:val="1"/>
        </w:numPr>
        <w:spacing w:line="42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Kingfisher</w:t>
      </w:r>
      <w:r w:rsidDel="00000000" w:rsidR="00000000" w:rsidRPr="00000000">
        <w:rPr>
          <w:rFonts w:ascii="Century Gothic" w:cs="Century Gothic" w:eastAsia="Century Gothic" w:hAnsi="Century Gothic"/>
          <w:b w:val="1"/>
          <w:bCs w:val="1"/>
          <w:rtl w:val="0"/>
        </w:rPr>
        <w:t xml:space="preserve"> (operated by CNOOC Uganda, 56.67% WI) </w:t>
      </w:r>
    </w:p>
    <w:p w:rsidR="00000000" w:rsidDel="00000000" w:rsidP="00000000" w:rsidRDefault="00000000" w:rsidRPr="00000000" w14:paraId="00000028">
      <w:pPr>
        <w:spacing w:line="42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Kingfisher covers Block 3B in the southern Albertine Graben and targets plateau production of approximately 40,000 bbl/d from 127 wells drilled across 10 well pads. The project's central processing facility is located at Buhuka, Kikuube District. CNOOC's extensive experience in large-scale upstream developments across emerging markets may support efficient project execution. Construction of upstream infrastructure is reported as 35–40% complete as of Q1 2025. The table below summarizes the different aspects of the upstream projects.</w:t>
      </w: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0c343d"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Parameters </w:t>
            </w:r>
          </w:p>
        </w:tc>
        <w:tc>
          <w:tcPr>
            <w:shd w:fill="0c343d" w:val="clear"/>
            <w:tcMar>
              <w:top w:w="100.0" w:type="dxa"/>
              <w:left w:w="100.0" w:type="dxa"/>
              <w:bottom w:w="100.0" w:type="dxa"/>
              <w:right w:w="100.0" w:type="dxa"/>
            </w:tcMar>
            <w:vAlign w:val="top"/>
          </w:tcPr>
          <w:p w:rsidR="00000000" w:rsidDel="00000000" w:rsidP="00000000" w:rsidRDefault="00000000" w:rsidRPr="00000000" w14:paraId="0000002A">
            <w:pPr>
              <w:spacing w:line="420" w:lineRule="auto"/>
              <w:ind w:lef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Tilenga </w:t>
            </w:r>
          </w:p>
        </w:tc>
        <w:tc>
          <w:tcPr>
            <w:shd w:fill="0c343d" w:val="clear"/>
            <w:tcMar>
              <w:top w:w="100.0" w:type="dxa"/>
              <w:left w:w="100.0" w:type="dxa"/>
              <w:bottom w:w="100.0" w:type="dxa"/>
              <w:right w:w="100.0" w:type="dxa"/>
            </w:tcMar>
            <w:vAlign w:val="top"/>
          </w:tcPr>
          <w:p w:rsidR="00000000" w:rsidDel="00000000" w:rsidP="00000000" w:rsidRDefault="00000000" w:rsidRPr="00000000" w14:paraId="0000002B">
            <w:pPr>
              <w:spacing w:line="420" w:lineRule="auto"/>
              <w:ind w:lef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Kingfisher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Operator</w:t>
            </w:r>
            <w:r w:rsidDel="00000000" w:rsidR="00000000" w:rsidRPr="00000000">
              <w:rPr>
                <w:rFonts w:ascii="Century Gothic" w:cs="Century Gothic" w:eastAsia="Century Gothic" w:hAnsi="Century Gothic"/>
                <w:color w:val="3d3d3a"/>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TotalEnergies EP Uganda</w:t>
            </w:r>
            <w:r w:rsidDel="00000000" w:rsidR="00000000" w:rsidRPr="00000000">
              <w:rPr>
                <w:rFonts w:ascii="Century Gothic" w:cs="Century Gothic" w:eastAsia="Century Gothic" w:hAnsi="Century Gothic"/>
                <w:color w:val="3d3d3a"/>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CNOOC Uganda Ltd</w:t>
            </w:r>
            <w:r w:rsidDel="00000000" w:rsidR="00000000" w:rsidRPr="00000000">
              <w:rPr>
                <w:rFonts w:ascii="Century Gothic" w:cs="Century Gothic" w:eastAsia="Century Gothic" w:hAnsi="Century Gothic"/>
                <w:color w:val="3d3d3a"/>
                <w:rtl w:val="0"/>
              </w:rPr>
              <w:t xml:space="preserve"> </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Working interest (operator)</w:t>
            </w:r>
            <w:r w:rsidDel="00000000" w:rsidR="00000000" w:rsidRPr="00000000">
              <w:rPr>
                <w:rFonts w:ascii="Century Gothic" w:cs="Century Gothic" w:eastAsia="Century Gothic" w:hAnsi="Century Gothic"/>
                <w:color w:val="3d3d3a"/>
                <w:rtl w:val="0"/>
              </w:rPr>
              <w:t xml:space="preserve"> </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56.67%</w:t>
            </w:r>
            <w:r w:rsidDel="00000000" w:rsidR="00000000" w:rsidRPr="00000000">
              <w:rPr>
                <w:rFonts w:ascii="Century Gothic" w:cs="Century Gothic" w:eastAsia="Century Gothic" w:hAnsi="Century Gothic"/>
                <w:color w:val="3d3d3a"/>
                <w:rtl w:val="0"/>
              </w:rPr>
              <w:t xml:space="preserve"> </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56.67%</w:t>
            </w:r>
            <w:r w:rsidDel="00000000" w:rsidR="00000000" w:rsidRPr="00000000">
              <w:rPr>
                <w:rFonts w:ascii="Century Gothic" w:cs="Century Gothic" w:eastAsia="Century Gothic" w:hAnsi="Century Gothic"/>
                <w:color w:val="3d3d3a"/>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UNOC equity</w:t>
            </w:r>
            <w:r w:rsidDel="00000000" w:rsidR="00000000" w:rsidRPr="00000000">
              <w:rPr>
                <w:rFonts w:ascii="Century Gothic" w:cs="Century Gothic" w:eastAsia="Century Gothic" w:hAnsi="Century Gothic"/>
                <w:color w:val="3d3d3a"/>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15% (carried)</w:t>
            </w:r>
            <w:r w:rsidDel="00000000" w:rsidR="00000000" w:rsidRPr="00000000">
              <w:rPr>
                <w:rFonts w:ascii="Century Gothic" w:cs="Century Gothic" w:eastAsia="Century Gothic" w:hAnsi="Century Gothic"/>
                <w:color w:val="3d3d3a"/>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15% (carried)</w:t>
            </w:r>
            <w:r w:rsidDel="00000000" w:rsidR="00000000" w:rsidRPr="00000000">
              <w:rPr>
                <w:rFonts w:ascii="Century Gothic" w:cs="Century Gothic" w:eastAsia="Century Gothic" w:hAnsi="Century Gothic"/>
                <w:color w:val="3d3d3a"/>
                <w:rtl w:val="0"/>
              </w:rPr>
              <w:t xml:space="preserve"> </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Blocks</w:t>
            </w:r>
            <w:r w:rsidDel="00000000" w:rsidR="00000000" w:rsidRPr="00000000">
              <w:rPr>
                <w:rFonts w:ascii="Century Gothic" w:cs="Century Gothic" w:eastAsia="Century Gothic" w:hAnsi="Century Gothic"/>
                <w:color w:val="3d3d3a"/>
                <w:rtl w:val="0"/>
              </w:rPr>
              <w:t xml:space="preserve"> </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1, 1A, 2, 3A</w:t>
            </w:r>
            <w:r w:rsidDel="00000000" w:rsidR="00000000" w:rsidRPr="00000000">
              <w:rPr>
                <w:rFonts w:ascii="Century Gothic" w:cs="Century Gothic" w:eastAsia="Century Gothic" w:hAnsi="Century Gothic"/>
                <w:color w:val="3d3d3a"/>
                <w:rtl w:val="0"/>
              </w:rPr>
              <w:t xml:space="preserve"> </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3B</w:t>
            </w:r>
            <w:r w:rsidDel="00000000" w:rsidR="00000000" w:rsidRPr="00000000">
              <w:rPr>
                <w:rFonts w:ascii="Century Gothic" w:cs="Century Gothic" w:eastAsia="Century Gothic" w:hAnsi="Century Gothic"/>
                <w:color w:val="3d3d3a"/>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Field areas</w:t>
            </w:r>
            <w:r w:rsidDel="00000000" w:rsidR="00000000" w:rsidRPr="00000000">
              <w:rPr>
                <w:rFonts w:ascii="Century Gothic" w:cs="Century Gothic" w:eastAsia="Century Gothic" w:hAnsi="Century Gothic"/>
                <w:color w:val="3d3d3a"/>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6 sub-areas (Jobi-Rii, Gunya etc.)</w:t>
            </w:r>
            <w:r w:rsidDel="00000000" w:rsidR="00000000" w:rsidRPr="00000000">
              <w:rPr>
                <w:rFonts w:ascii="Century Gothic" w:cs="Century Gothic" w:eastAsia="Century Gothic" w:hAnsi="Century Gothic"/>
                <w:color w:val="3d3d3a"/>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Kingfisher field</w:t>
            </w:r>
            <w:r w:rsidDel="00000000" w:rsidR="00000000" w:rsidRPr="00000000">
              <w:rPr>
                <w:rFonts w:ascii="Century Gothic" w:cs="Century Gothic" w:eastAsia="Century Gothic" w:hAnsi="Century Gothic"/>
                <w:color w:val="3d3d3a"/>
                <w:rtl w:val="0"/>
              </w:rPr>
              <w:t xml:space="preserve"> </w:t>
            </w:r>
          </w:p>
        </w:tc>
      </w:tr>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Wells (production + injection)</w:t>
            </w:r>
            <w:r w:rsidDel="00000000" w:rsidR="00000000" w:rsidRPr="00000000">
              <w:rPr>
                <w:rFonts w:ascii="Century Gothic" w:cs="Century Gothic" w:eastAsia="Century Gothic" w:hAnsi="Century Gothic"/>
                <w:color w:val="3d3d3a"/>
                <w:rtl w:val="0"/>
              </w:rPr>
              <w:t xml:space="preserve"> </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Approximately 426</w:t>
            </w:r>
            <w:r w:rsidDel="00000000" w:rsidR="00000000" w:rsidRPr="00000000">
              <w:rPr>
                <w:rFonts w:ascii="Century Gothic" w:cs="Century Gothic" w:eastAsia="Century Gothic" w:hAnsi="Century Gothic"/>
                <w:color w:val="3d3d3a"/>
                <w:rtl w:val="0"/>
              </w:rPr>
              <w:t xml:space="preserve"> </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Approximately 127</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Well pads</w:t>
            </w:r>
            <w:r w:rsidDel="00000000" w:rsidR="00000000" w:rsidRPr="00000000">
              <w:rPr>
                <w:rFonts w:ascii="Century Gothic" w:cs="Century Gothic" w:eastAsia="Century Gothic" w:hAnsi="Century Gothic"/>
                <w:color w:val="3d3d3a"/>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3d3d3a"/>
                <w:rtl w:val="0"/>
              </w:rPr>
              <w:t xml:space="preserve">31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3d3d3a"/>
                <w:rtl w:val="0"/>
              </w:rPr>
              <w:t xml:space="preserve">10</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Plateau production</w:t>
            </w:r>
            <w:r w:rsidDel="00000000" w:rsidR="00000000" w:rsidRPr="00000000">
              <w:rPr>
                <w:rFonts w:ascii="Century Gothic" w:cs="Century Gothic" w:eastAsia="Century Gothic" w:hAnsi="Century Gothic"/>
                <w:color w:val="3d3d3a"/>
                <w:rtl w:val="0"/>
              </w:rPr>
              <w:t xml:space="preserve"> </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190,000 bbl/d</w:t>
            </w:r>
            <w:r w:rsidDel="00000000" w:rsidR="00000000" w:rsidRPr="00000000">
              <w:rPr>
                <w:rFonts w:ascii="Century Gothic" w:cs="Century Gothic" w:eastAsia="Century Gothic" w:hAnsi="Century Gothic"/>
                <w:color w:val="3d3d3a"/>
                <w:rtl w:val="0"/>
              </w:rPr>
              <w:t xml:space="preserve"> </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40,000 bbl/d</w:t>
            </w:r>
            <w:r w:rsidDel="00000000" w:rsidR="00000000" w:rsidRPr="00000000">
              <w:rPr>
                <w:rFonts w:ascii="Century Gothic" w:cs="Century Gothic" w:eastAsia="Century Gothic" w:hAnsi="Century Gothic"/>
                <w:color w:val="3d3d3a"/>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CPF location</w:t>
            </w:r>
            <w:r w:rsidDel="00000000" w:rsidR="00000000" w:rsidRPr="00000000">
              <w:rPr>
                <w:rFonts w:ascii="Century Gothic" w:cs="Century Gothic" w:eastAsia="Century Gothic" w:hAnsi="Century Gothic"/>
                <w:color w:val="3d3d3a"/>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Kabaale, Hoima District</w:t>
            </w:r>
            <w:r w:rsidDel="00000000" w:rsidR="00000000" w:rsidRPr="00000000">
              <w:rPr>
                <w:rFonts w:ascii="Century Gothic" w:cs="Century Gothic" w:eastAsia="Century Gothic" w:hAnsi="Century Gothic"/>
                <w:color w:val="3d3d3a"/>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Buhuka, Kikuube District</w:t>
            </w:r>
            <w:r w:rsidDel="00000000" w:rsidR="00000000" w:rsidRPr="00000000">
              <w:rPr>
                <w:rFonts w:ascii="Century Gothic" w:cs="Century Gothic" w:eastAsia="Century Gothic" w:hAnsi="Century Gothic"/>
                <w:color w:val="3d3d3a"/>
                <w:rtl w:val="0"/>
              </w:rPr>
              <w:t xml:space="preserve"> </w:t>
            </w:r>
          </w:p>
        </w:tc>
      </w:tr>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FEED completion</w:t>
            </w:r>
            <w:r w:rsidDel="00000000" w:rsidR="00000000" w:rsidRPr="00000000">
              <w:rPr>
                <w:rFonts w:ascii="Century Gothic" w:cs="Century Gothic" w:eastAsia="Century Gothic" w:hAnsi="Century Gothic"/>
                <w:color w:val="3d3d3a"/>
                <w:rtl w:val="0"/>
              </w:rPr>
              <w:t xml:space="preserve"> </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3d3d3a"/>
                <w:rtl w:val="0"/>
              </w:rPr>
              <w:t xml:space="preserve">2021</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3d3d3a"/>
                <w:rtl w:val="0"/>
              </w:rPr>
              <w:t xml:space="preserve">2022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Upstream CAPEX (est.)</w:t>
            </w:r>
            <w:r w:rsidDel="00000000" w:rsidR="00000000" w:rsidRPr="00000000">
              <w:rPr>
                <w:rFonts w:ascii="Century Gothic" w:cs="Century Gothic" w:eastAsia="Century Gothic" w:hAnsi="Century Gothic"/>
                <w:color w:val="3d3d3a"/>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Approximately $10.0 bn (total project)</w:t>
            </w:r>
            <w:r w:rsidDel="00000000" w:rsidR="00000000" w:rsidRPr="00000000">
              <w:rPr>
                <w:rFonts w:ascii="Century Gothic" w:cs="Century Gothic" w:eastAsia="Century Gothic" w:hAnsi="Century Gothic"/>
                <w:color w:val="3d3d3a"/>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Approximately $2.4 bn</w:t>
            </w:r>
            <w:r w:rsidDel="00000000" w:rsidR="00000000" w:rsidRPr="00000000">
              <w:rPr>
                <w:rFonts w:ascii="Century Gothic" w:cs="Century Gothic" w:eastAsia="Century Gothic" w:hAnsi="Century Gothic"/>
                <w:color w:val="3d3d3a"/>
                <w:rtl w:val="0"/>
              </w:rPr>
              <w:t xml:space="preserve"> </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Construction progress (Q1 2025)</w:t>
            </w:r>
            <w:r w:rsidDel="00000000" w:rsidR="00000000" w:rsidRPr="00000000">
              <w:rPr>
                <w:rFonts w:ascii="Century Gothic" w:cs="Century Gothic" w:eastAsia="Century Gothic" w:hAnsi="Century Gothic"/>
                <w:color w:val="3d3d3a"/>
                <w:rtl w:val="0"/>
              </w:rPr>
              <w:t xml:space="preserve"> </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Approximately 25–30%</w:t>
            </w:r>
            <w:r w:rsidDel="00000000" w:rsidR="00000000" w:rsidRPr="00000000">
              <w:rPr>
                <w:rFonts w:ascii="Century Gothic" w:cs="Century Gothic" w:eastAsia="Century Gothic" w:hAnsi="Century Gothic"/>
                <w:color w:val="3d3d3a"/>
                <w:rtl w:val="0"/>
              </w:rPr>
              <w:t xml:space="preserve"> </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Approximately 35–40%</w:t>
            </w:r>
            <w:r w:rsidDel="00000000" w:rsidR="00000000" w:rsidRPr="00000000">
              <w:rPr>
                <w:rFonts w:ascii="Century Gothic" w:cs="Century Gothic" w:eastAsia="Century Gothic" w:hAnsi="Century Gothic"/>
                <w:color w:val="3d3d3a"/>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First oil target</w:t>
            </w:r>
            <w:r w:rsidDel="00000000" w:rsidR="00000000" w:rsidRPr="00000000">
              <w:rPr>
                <w:rFonts w:ascii="Century Gothic" w:cs="Century Gothic" w:eastAsia="Century Gothic" w:hAnsi="Century Gothic"/>
                <w:color w:val="3d3d3a"/>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Late 2027</w:t>
            </w:r>
            <w:r w:rsidDel="00000000" w:rsidR="00000000" w:rsidRPr="00000000">
              <w:rPr>
                <w:rFonts w:ascii="Century Gothic" w:cs="Century Gothic" w:eastAsia="Century Gothic" w:hAnsi="Century Gothic"/>
                <w:color w:val="3d3d3a"/>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3d3d3a"/>
              </w:rPr>
            </w:pPr>
            <w:r w:rsidDel="00000000" w:rsidR="00000000" w:rsidRPr="00000000">
              <w:rPr>
                <w:rFonts w:ascii="Century Gothic" w:cs="Century Gothic" w:eastAsia="Century Gothic" w:hAnsi="Century Gothic"/>
                <w:color w:val="141413"/>
                <w:rtl w:val="0"/>
              </w:rPr>
              <w:t xml:space="preserve">Late 2027</w:t>
            </w:r>
            <w:r w:rsidDel="00000000" w:rsidR="00000000" w:rsidRPr="00000000">
              <w:rPr>
                <w:rFonts w:ascii="Century Gothic" w:cs="Century Gothic" w:eastAsia="Century Gothic" w:hAnsi="Century Gothic"/>
                <w:color w:val="3d3d3a"/>
                <w:rtl w:val="0"/>
              </w:rPr>
              <w:t xml:space="preserve"> </w:t>
            </w:r>
          </w:p>
        </w:tc>
      </w:tr>
    </w:tbl>
    <w:p w:rsidR="00000000" w:rsidDel="00000000" w:rsidP="00000000" w:rsidRDefault="00000000" w:rsidRPr="00000000" w14:paraId="00000053">
      <w:pPr>
        <w:spacing w:line="420" w:lineRule="auto"/>
        <w:jc w:val="both"/>
        <w:rPr>
          <w:rFonts w:ascii="Century Gothic" w:cs="Century Gothic" w:eastAsia="Century Gothic" w:hAnsi="Century Gothic"/>
          <w:color w:val="3d3d3a"/>
        </w:rPr>
      </w:pPr>
      <w:r w:rsidDel="00000000" w:rsidR="00000000" w:rsidRPr="00000000">
        <w:rPr>
          <w:rtl w:val="0"/>
        </w:rPr>
      </w:r>
    </w:p>
    <w:p w:rsidR="00000000" w:rsidDel="00000000" w:rsidP="00000000" w:rsidRDefault="00000000" w:rsidRPr="00000000" w14:paraId="00000054">
      <w:pPr>
        <w:spacing w:before="200" w:lineRule="auto"/>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midstream infrastructure</w:t>
      </w:r>
    </w:p>
    <w:p w:rsidR="00000000" w:rsidDel="00000000" w:rsidP="00000000" w:rsidRDefault="00000000" w:rsidRPr="00000000" w14:paraId="00000055">
      <w:pPr>
        <w:spacing w:before="200" w:line="42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East African Crude Oil Pipeline is the single most critical piece of infrastructure in the Uganda oil development equation. Without a viable export route, upstream production has no monetisation pathway, Uganda is landlocked, and the waxy nature of Albertine crude makes road or rail transport to coast effectively unviable at commercial volumes. EACOP will run 1,443 km from Kabaale (Hoima) to the marine export terminal at Tanga, Tanzania, crossing through 22 districts in Uganda and 25 districts in Tanzania.</w:t>
      </w:r>
    </w:p>
    <w:p w:rsidR="00000000" w:rsidDel="00000000" w:rsidP="00000000" w:rsidRDefault="00000000" w:rsidRPr="00000000" w14:paraId="00000056">
      <w:pPr>
        <w:spacing w:line="42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pipeline operates at an elevated operating temperature (50°C) to keep the waxy crude above its pour point and prevent solidification in the pipe, a technically complex and operationally costly requirement. Approximately 8 electrical heating stations will maintain temperature along the route, consuming an estimated 50–60 MW of electrical power. This captive industrial power demand is itself a significant investment opportunity for Ugandan and Tanzanian energy developers.</w:t>
      </w:r>
    </w:p>
    <w:p w:rsidR="00000000" w:rsidDel="00000000" w:rsidP="00000000" w:rsidRDefault="00000000" w:rsidRPr="00000000" w14:paraId="00000057">
      <w:pPr>
        <w:spacing w:line="42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Financing support has been secured from a combination of African development finance institutions and international lenders, with Afreximbank and regional financial institutions playing prominent roles. The project is proceeding but with a narrower, less conventional financing base than originally anticipated. The table below outlines the key specifications of the EACOP.</w:t>
      </w:r>
      <w:r w:rsidDel="00000000" w:rsidR="00000000" w:rsidRPr="00000000">
        <w:rPr>
          <w:rtl w:val="0"/>
        </w:rPr>
      </w:r>
    </w:p>
    <w:p w:rsidR="00000000" w:rsidDel="00000000" w:rsidP="00000000" w:rsidRDefault="00000000" w:rsidRPr="00000000" w14:paraId="00000058">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9">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A">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B">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C">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D">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E">
      <w:pPr>
        <w:jc w:val="both"/>
        <w:rPr>
          <w:rFonts w:ascii="Century Gothic" w:cs="Century Gothic" w:eastAsia="Century Gothic" w:hAnsi="Century Gothic"/>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0c343d"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Parameters </w:t>
            </w:r>
          </w:p>
        </w:tc>
        <w:tc>
          <w:tcPr>
            <w:shd w:fill="0c343d"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Details </w:t>
            </w:r>
          </w:p>
        </w:tc>
        <w:tc>
          <w:tcPr>
            <w:shd w:fill="0c343d"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Note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141413"/>
                <w:rtl w:val="0"/>
              </w:rPr>
              <w:t xml:space="preserve">Pipeline diameter</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141413"/>
                <w:rtl w:val="0"/>
              </w:rPr>
              <w:t xml:space="preserve">24 inches (610 mm)</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141413"/>
                <w:rtl w:val="0"/>
              </w:rPr>
              <w:t xml:space="preserve">Carbon steel, coated &amp; insulated</w:t>
            </w:r>
            <w:r w:rsidDel="00000000" w:rsidR="00000000" w:rsidRPr="00000000">
              <w:rPr>
                <w:rFonts w:ascii="Century Gothic" w:cs="Century Gothic" w:eastAsia="Century Gothic" w:hAnsi="Century Gothic"/>
                <w:rtl w:val="0"/>
              </w:rPr>
              <w:t xml:space="preserve"> </w:t>
            </w:r>
          </w:p>
        </w:tc>
      </w:tr>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141413"/>
                <w:rtl w:val="0"/>
              </w:rPr>
              <w:t xml:space="preserve">Operating pressure</w:t>
            </w:r>
            <w:r w:rsidDel="00000000" w:rsidR="00000000" w:rsidRPr="00000000">
              <w:rPr>
                <w:rFonts w:ascii="Century Gothic" w:cs="Century Gothic" w:eastAsia="Century Gothic" w:hAnsi="Century Gothic"/>
                <w:rtl w:val="0"/>
              </w:rPr>
              <w:t xml:space="preserve"> </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141413"/>
                <w:rtl w:val="0"/>
              </w:rPr>
              <w:t xml:space="preserve">Up to 147 bar</w:t>
            </w:r>
            <w:r w:rsidDel="00000000" w:rsidR="00000000" w:rsidRPr="00000000">
              <w:rPr>
                <w:rFonts w:ascii="Century Gothic" w:cs="Century Gothic" w:eastAsia="Century Gothic" w:hAnsi="Century Gothic"/>
                <w:rtl w:val="0"/>
              </w:rPr>
              <w:t xml:space="preserve"> </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141413"/>
                <w:rtl w:val="0"/>
              </w:rPr>
              <w:t xml:space="preserve">High-pressure design for viscous crude</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141413"/>
                <w:rtl w:val="0"/>
              </w:rPr>
              <w:t xml:space="preserve">Heating stations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141413"/>
                <w:rtl w:val="0"/>
              </w:rPr>
              <w:t xml:space="preserve">~8 electrical stations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141413"/>
                <w:rtl w:val="0"/>
              </w:rPr>
              <w:t xml:space="preserve">~50–60 MW power demand</w:t>
            </w:r>
            <w:r w:rsidDel="00000000" w:rsidR="00000000" w:rsidRPr="00000000">
              <w:rPr>
                <w:rFonts w:ascii="Century Gothic" w:cs="Century Gothic" w:eastAsia="Century Gothic" w:hAnsi="Century Gothic"/>
                <w:rtl w:val="0"/>
              </w:rPr>
              <w:t xml:space="preserve"> </w:t>
            </w:r>
          </w:p>
        </w:tc>
      </w:tr>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141413"/>
                <w:rtl w:val="0"/>
              </w:rPr>
              <w:t xml:space="preserve">Marine terminal</w:t>
            </w:r>
            <w:r w:rsidDel="00000000" w:rsidR="00000000" w:rsidRPr="00000000">
              <w:rPr>
                <w:rFonts w:ascii="Century Gothic" w:cs="Century Gothic" w:eastAsia="Century Gothic" w:hAnsi="Century Gothic"/>
                <w:rtl w:val="0"/>
              </w:rPr>
              <w:t xml:space="preserve"> </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141413"/>
                <w:rtl w:val="0"/>
              </w:rPr>
              <w:t xml:space="preserve">Chongoleani, Tanga</w:t>
            </w:r>
            <w:r w:rsidDel="00000000" w:rsidR="00000000" w:rsidRPr="00000000">
              <w:rPr>
                <w:rFonts w:ascii="Century Gothic" w:cs="Century Gothic" w:eastAsia="Century Gothic" w:hAnsi="Century Gothic"/>
                <w:rtl w:val="0"/>
              </w:rPr>
              <w:t xml:space="preserve"> </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141413"/>
                <w:rtl w:val="0"/>
              </w:rPr>
              <w:t xml:space="preserve">2× floating storage units (FSU)</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141413"/>
                <w:rtl w:val="0"/>
              </w:rPr>
              <w:t xml:space="preserve">Equity — TotalEnergies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141413"/>
                <w:rtl w:val="0"/>
              </w:rPr>
              <w:t xml:space="preserve">62.0%</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141413"/>
                <w:rtl w:val="0"/>
              </w:rPr>
              <w:t xml:space="preserve">Lead project developer</w:t>
            </w:r>
            <w:r w:rsidDel="00000000" w:rsidR="00000000" w:rsidRPr="00000000">
              <w:rPr>
                <w:rFonts w:ascii="Century Gothic" w:cs="Century Gothic" w:eastAsia="Century Gothic" w:hAnsi="Century Gothic"/>
                <w:rtl w:val="0"/>
              </w:rPr>
              <w:t xml:space="preserve"> </w:t>
            </w:r>
          </w:p>
        </w:tc>
      </w:tr>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141413"/>
                <w:rtl w:val="0"/>
              </w:rPr>
              <w:t xml:space="preserve">Equity — CNOOC</w:t>
            </w:r>
            <w:r w:rsidDel="00000000" w:rsidR="00000000" w:rsidRPr="00000000">
              <w:rPr>
                <w:rFonts w:ascii="Century Gothic" w:cs="Century Gothic" w:eastAsia="Century Gothic" w:hAnsi="Century Gothic"/>
                <w:rtl w:val="0"/>
              </w:rPr>
              <w:t xml:space="preserve"> </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141413"/>
                <w:rtl w:val="0"/>
              </w:rPr>
              <w:t xml:space="preserve">8.0%</w:t>
            </w:r>
            <w:r w:rsidDel="00000000" w:rsidR="00000000" w:rsidRPr="00000000">
              <w:rPr>
                <w:rFonts w:ascii="Century Gothic" w:cs="Century Gothic" w:eastAsia="Century Gothic" w:hAnsi="Century Gothic"/>
                <w:rtl w:val="0"/>
              </w:rPr>
              <w:t xml:space="preserve"> </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141413"/>
                <w:rtl w:val="0"/>
              </w:rPr>
              <w:t xml:space="preserve">Upstream partner</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141413"/>
                <w:rtl w:val="0"/>
              </w:rPr>
              <w:t xml:space="preserve">Equity — UNOC (Uganda)</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141413"/>
                <w:rtl w:val="0"/>
              </w:rPr>
              <w:t xml:space="preserve">15.0%</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141413"/>
                <w:rtl w:val="0"/>
              </w:rPr>
              <w:t xml:space="preserve">Carried through construction</w:t>
            </w:r>
            <w:r w:rsidDel="00000000" w:rsidR="00000000" w:rsidRPr="00000000">
              <w:rPr>
                <w:rFonts w:ascii="Century Gothic" w:cs="Century Gothic" w:eastAsia="Century Gothic" w:hAnsi="Century Gothic"/>
                <w:rtl w:val="0"/>
              </w:rPr>
              <w:t xml:space="preserve"> </w:t>
            </w:r>
          </w:p>
        </w:tc>
      </w:tr>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141413"/>
                <w:rtl w:val="0"/>
              </w:rPr>
              <w:t xml:space="preserve">Equity — TPDC (Tanzania)</w:t>
            </w:r>
            <w:r w:rsidDel="00000000" w:rsidR="00000000" w:rsidRPr="00000000">
              <w:rPr>
                <w:rFonts w:ascii="Century Gothic" w:cs="Century Gothic" w:eastAsia="Century Gothic" w:hAnsi="Century Gothic"/>
                <w:rtl w:val="0"/>
              </w:rPr>
              <w:t xml:space="preserve"> </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141413"/>
                <w:rtl w:val="0"/>
              </w:rPr>
              <w:t xml:space="preserve">15.0%</w:t>
            </w:r>
            <w:r w:rsidDel="00000000" w:rsidR="00000000" w:rsidRPr="00000000">
              <w:rPr>
                <w:rFonts w:ascii="Century Gothic" w:cs="Century Gothic" w:eastAsia="Century Gothic" w:hAnsi="Century Gothic"/>
                <w:rtl w:val="0"/>
              </w:rPr>
              <w:t xml:space="preserve"> </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141413"/>
                <w:rtl w:val="0"/>
              </w:rPr>
              <w:t xml:space="preserve">Tanzanian state oil company</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141413"/>
                <w:rtl w:val="0"/>
              </w:rPr>
              <w:t xml:space="preserve">Target completion</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141413"/>
                <w:rtl w:val="0"/>
              </w:rPr>
              <w:t xml:space="preserve">2027–2028 (target)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141413"/>
                <w:rtl w:val="0"/>
              </w:rPr>
              <w:t xml:space="preserve">Aligned with upstream first oil</w:t>
            </w:r>
            <w:r w:rsidDel="00000000" w:rsidR="00000000" w:rsidRPr="00000000">
              <w:rPr>
                <w:rFonts w:ascii="Century Gothic" w:cs="Century Gothic" w:eastAsia="Century Gothic" w:hAnsi="Century Gothic"/>
                <w:rtl w:val="0"/>
              </w:rPr>
              <w:t xml:space="preserve"> </w:t>
            </w:r>
          </w:p>
        </w:tc>
      </w:tr>
    </w:tbl>
    <w:p w:rsidR="00000000" w:rsidDel="00000000" w:rsidP="00000000" w:rsidRDefault="00000000" w:rsidRPr="00000000" w14:paraId="0000007D">
      <w:pPr>
        <w:spacing w:before="20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E">
      <w:pPr>
        <w:spacing w:before="200" w:lineRule="auto"/>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 Regulatory &amp; institutional framework</w:t>
      </w:r>
    </w:p>
    <w:p w:rsidR="00000000" w:rsidDel="00000000" w:rsidP="00000000" w:rsidRDefault="00000000" w:rsidRPr="00000000" w14:paraId="0000007F">
      <w:pPr>
        <w:spacing w:before="200" w:line="42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Uganda's petroleum regulatory framework was substantially modernised through the twin 2013 Petroleum Acts, which separated the functions of policy (MEMD), regulation (PAU), and commercial participation (UNOC). This institutional unbundling was recommended by the World Bank and broadly follows the "Trinity Model" of petroleum governance increasingly adopted across sub-Saharan Africa. In practice, however, the three entities remain closely intertwined, PAU's board is appointed by and reports to MEMD, and UNOC's commercial decisions are subject to informal ministerial influence. This creates potential for regulatory capture and slows decision-making on complex commercial issues such as the refinery FID and EACOP tariff negotiations.</w:t>
      </w:r>
    </w:p>
    <w:p w:rsidR="00000000" w:rsidDel="00000000" w:rsidP="00000000" w:rsidRDefault="00000000" w:rsidRPr="00000000" w14:paraId="00000080">
      <w:pPr>
        <w:spacing w:line="42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Production Sharing Agreement framework which governs cost recovery, profit oil allocation, and local content obligations was renegotiated between 2016 and 2019 following disagreements between the government and Tullow Oil (which subsequently exited its Uganda interests in 2020). The revised PSA terms are broadly aligned with international norms but contain several bespoke provisions including a local content "transformation plan" requirement and a restriction on crude oil transfer pricing that may complicate future asset sales or farm-outs.</w:t>
      </w:r>
    </w:p>
    <w:p w:rsidR="00000000" w:rsidDel="00000000" w:rsidP="00000000" w:rsidRDefault="00000000" w:rsidRPr="00000000" w14:paraId="00000081">
      <w:pPr>
        <w:spacing w:line="420" w:lineRule="auto"/>
        <w:jc w:val="both"/>
        <w:rPr>
          <w:rFonts w:ascii="Century Gothic" w:cs="Century Gothic" w:eastAsia="Century Gothic" w:hAnsi="Century Gothic"/>
          <w:sz w:val="26"/>
          <w:szCs w:val="26"/>
        </w:rPr>
      </w:pPr>
      <w:r w:rsidDel="00000000" w:rsidR="00000000" w:rsidRPr="00000000">
        <w:rPr>
          <w:rFonts w:ascii="Century Gothic" w:cs="Century Gothic" w:eastAsia="Century Gothic" w:hAnsi="Century Gothic"/>
          <w:b w:val="1"/>
          <w:bCs w:val="1"/>
          <w:sz w:val="26"/>
          <w:szCs w:val="26"/>
          <w:rtl w:val="0"/>
        </w:rPr>
        <w:t xml:space="preserve">Key Risk</w:t>
      </w: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0c343d"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color w:val="ffffff"/>
              </w:rPr>
            </w:pPr>
            <w:r w:rsidDel="00000000" w:rsidR="00000000" w:rsidRPr="00000000">
              <w:rPr>
                <w:rFonts w:ascii="Century Gothic" w:cs="Century Gothic" w:eastAsia="Century Gothic" w:hAnsi="Century Gothic"/>
                <w:color w:val="ffffff"/>
                <w:rtl w:val="0"/>
              </w:rPr>
              <w:t xml:space="preserve">Risk category </w:t>
            </w:r>
            <w:r w:rsidDel="00000000" w:rsidR="00000000" w:rsidRPr="00000000">
              <w:rPr>
                <w:rtl w:val="0"/>
              </w:rPr>
            </w:r>
          </w:p>
        </w:tc>
        <w:tc>
          <w:tcPr>
            <w:shd w:fill="0c343d"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color w:val="ffffff"/>
                <w:sz w:val="26"/>
                <w:szCs w:val="26"/>
              </w:rPr>
            </w:pPr>
            <w:r w:rsidDel="00000000" w:rsidR="00000000" w:rsidRPr="00000000">
              <w:rPr>
                <w:rFonts w:ascii="Century Gothic" w:cs="Century Gothic" w:eastAsia="Century Gothic" w:hAnsi="Century Gothic"/>
                <w:color w:val="ffffff"/>
                <w:sz w:val="26"/>
                <w:szCs w:val="26"/>
                <w:rtl w:val="0"/>
              </w:rPr>
              <w:t xml:space="preserve">Assessment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Oil Price Volatility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Medium </w:t>
            </w:r>
          </w:p>
        </w:tc>
      </w:tr>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Construction Delays </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High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ESG &amp; Litigation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High </w:t>
            </w:r>
          </w:p>
        </w:tc>
      </w:tr>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Political Risk </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Medium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Fiscal Stability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Medium </w:t>
            </w:r>
          </w:p>
        </w:tc>
      </w:tr>
    </w:tbl>
    <w:p w:rsidR="00000000" w:rsidDel="00000000" w:rsidP="00000000" w:rsidRDefault="00000000" w:rsidRPr="00000000" w14:paraId="0000008E">
      <w:pPr>
        <w:spacing w:line="420" w:lineRule="auto"/>
        <w:jc w:val="both"/>
        <w:rPr>
          <w:rFonts w:ascii="Century Gothic" w:cs="Century Gothic" w:eastAsia="Century Gothic" w:hAnsi="Century Gothic"/>
          <w:sz w:val="26"/>
          <w:szCs w:val="26"/>
        </w:rPr>
      </w:pPr>
      <w:r w:rsidDel="00000000" w:rsidR="00000000" w:rsidRPr="00000000">
        <w:rPr>
          <w:rtl w:val="0"/>
        </w:rPr>
      </w:r>
    </w:p>
    <w:p w:rsidR="00000000" w:rsidDel="00000000" w:rsidP="00000000" w:rsidRDefault="00000000" w:rsidRPr="00000000" w14:paraId="0000008F">
      <w:pPr>
        <w:spacing w:before="200" w:lineRule="auto"/>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 Investment opportunities &amp; recommendations</w:t>
      </w:r>
    </w:p>
    <w:p w:rsidR="00000000" w:rsidDel="00000000" w:rsidP="00000000" w:rsidRDefault="00000000" w:rsidRPr="00000000" w14:paraId="00000090">
      <w:pPr>
        <w:spacing w:before="200" w:line="42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Despite the headline ESG complexity, Uganda's oil and gas sector offers a diversified set of investment opportunities across the upstream, midstream, and services value chain. The most accessible near-term opportunities are concentrated in the </w:t>
      </w:r>
      <w:r w:rsidDel="00000000" w:rsidR="00000000" w:rsidRPr="00000000">
        <w:rPr>
          <w:rFonts w:ascii="Century Gothic" w:cs="Century Gothic" w:eastAsia="Century Gothic" w:hAnsi="Century Gothic"/>
          <w:rtl w:val="0"/>
        </w:rPr>
        <w:t xml:space="preserve">oilfield services, local content, and power supply</w:t>
      </w:r>
      <w:r w:rsidDel="00000000" w:rsidR="00000000" w:rsidRPr="00000000">
        <w:rPr>
          <w:rFonts w:ascii="Century Gothic" w:cs="Century Gothic" w:eastAsia="Century Gothic" w:hAnsi="Century Gothic"/>
          <w:rtl w:val="0"/>
        </w:rPr>
        <w:t xml:space="preserve"> segments areas where ESG constraints are less acute and where Uganda's government has enacted strong local content legislation (the Local Content Bill, 2022) that creates regulatory incentives for in-country investment.</w:t>
      </w:r>
    </w:p>
    <w:p w:rsidR="00000000" w:rsidDel="00000000" w:rsidP="00000000" w:rsidRDefault="00000000" w:rsidRPr="00000000" w14:paraId="00000091">
      <w:pPr>
        <w:spacing w:line="42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For institutional investors with longer horizons and appropriate ESG frameworks, UNOC's carried equity stake in both Tilenga and Kingfisher presents a potential secondary market opportunity as the state oil company seeks to monetise a portion of its interest to fund ongoing operational obligations. Future monetisation of portions of UNOC's equity stake cannot be ruled out as capital requirements increase during the production phase.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